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«Лямбирский детский сад №2 «Родничок»</w:t>
      </w: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</w:t>
      </w: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1801" w:rsidRDefault="00CB1801" w:rsidP="00CB1801">
      <w:pPr>
        <w:shd w:val="clear" w:color="auto" w:fill="FFFFFF"/>
        <w:spacing w:after="150" w:line="360" w:lineRule="auto"/>
        <w:jc w:val="center"/>
        <w:outlineLvl w:val="0"/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</w:pP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>«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Развитие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творческих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способностей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детей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посредством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освоения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нетрадиционных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техник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kern w:val="36"/>
          <w:sz w:val="40"/>
          <w:szCs w:val="40"/>
          <w:lang w:eastAsia="ru-RU"/>
        </w:rPr>
        <w:t>рисования</w:t>
      </w:r>
      <w:r>
        <w:rPr>
          <w:rFonts w:ascii="Britannic Bold" w:eastAsia="Times New Roman" w:hAnsi="Britannic Bold" w:cs="Arial"/>
          <w:i/>
          <w:color w:val="000000" w:themeColor="text1"/>
          <w:kern w:val="36"/>
          <w:sz w:val="40"/>
          <w:szCs w:val="40"/>
          <w:lang w:eastAsia="ru-RU"/>
        </w:rPr>
        <w:t>»</w:t>
      </w: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CB1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старший воспитатель</w:t>
      </w:r>
    </w:p>
    <w:p w:rsidR="00CB1801" w:rsidRDefault="00CB1801" w:rsidP="00CB1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Ирина Юрьевна</w:t>
      </w: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CB1801" w:rsidRDefault="00CB1801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9E434D" w:rsidRPr="009E434D" w:rsidRDefault="009E434D" w:rsidP="009E43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bookmarkEnd w:id="0"/>
      <w:r w:rsidRPr="009E434D"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lastRenderedPageBreak/>
        <w:t>Развитие творческих способностей детей посредством освоения нетрадиционных техник рисования</w:t>
      </w:r>
      <w:r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  <w:t>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Большой потенциал для раскрытия детского творчества заключен в изобразительной деятельности дошкольников.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</w:t>
      </w:r>
      <w:proofErr w:type="spell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Несформированность</w:t>
      </w:r>
      <w:proofErr w:type="spell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рисованию нетрадиционными техниками. Работая в этом направлении, убедилась в том, что рисование 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Основные принципы работы по развитию творческих способностей: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От 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простого</w:t>
      </w:r>
      <w:proofErr w:type="gram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к сложному, где предусмотрен переход от простых занятий к сложным.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Принцип индивидуализации обеспечивает вовлечение каждого ребенка в воспитательный процесс.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Принцип интегрированного подхода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 Связь обучения с жизнью: изображение должно опираться на впечатление, полученное ребенком от окружающей действительности.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Принцип доступности материала.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от рисования отдельных предметов к рисованию сюжетных эпизодов и далее к сюжетному рисованию;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от применения наиболее простых видов нетрадиционной техники изображения к более 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сложным</w:t>
      </w:r>
      <w:proofErr w:type="gram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 от использования готового оборудования, материала к применению 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таких</w:t>
      </w:r>
      <w:proofErr w:type="gram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>, которые необходимо самим изготовить;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 от использования метода подражания к самостоятельному выполнению замысла;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 от применения в рисунке одного вида техники к использованию смешанных техник изображения;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 от индивидуальной работы к коллективному изображению предметов, сюжетов нетрадиционной техники рисования.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игра, которая является основным видом деятельности детей;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сюрпризный момент – любимый герой сказки или мультфильма приходит в гости, и приглашает ребёнка отправиться в путешествие;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просьба о помощи, ведь дети никогда не откажут помочь 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слабому</w:t>
      </w:r>
      <w:proofErr w:type="gram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>, им важно почувствовать себя значимым;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музыкальное сопровождение и т. п.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Кроме того, желательно живо, эмоционально объяснять детям способы действий и показывать приёмы изображения.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личностно – ориентированные (проблемные вопросы и ситуации)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коммуникативные (беседа и диалог, расширение и активизация словаря)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игровые (оригинальность сюжета, мотивация)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педагогические (доверительная беседа, стимулирование)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Для рисования в детском саду можно представить различные материалы: простые и цветные карандаши; акварельные и гуашевые краски; восковые мелки; фломастеры; акварельные мелки; пастель; уголь; сангину; пластилин и тушь. В практике обучения детей изобразительной деятельности широко используют разнообразные материалы. Детям нравится новизна. Они с большим интересом рисуют даже простым графитным карандашом, используя различный нажим для передачи оттеков предмета.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С самого начала приобщения ребенка к рисованию надо научить его правильно пользоваться разными изобразительными материалами, научить детей техникам рисования.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С детьми младшего дошкольного возраста рекомендуется использовать: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рисование пальчиками;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оттиск печатками из картофеля;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рисование ладошками.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Детей среднего дошкольного возраста можно знакомить с более сложными техниками: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тычок</w:t>
      </w:r>
      <w:proofErr w:type="gram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жесткой полусухой кистью.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печать поролоном;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печать пробками;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восковые мелки + акварель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свеча + акварель;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отпечатки листьев;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рисунки из ладошки;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рисование ватными палочками;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волшебные веревочки.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А в старшем дошкольном возрасте дети могут освоить еще более трудные методы и техники: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рисование песком;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рисование мыльными пузырями;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рисование мятой бумагой;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</w:t>
      </w:r>
      <w:proofErr w:type="spell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кляксография</w:t>
      </w:r>
      <w:proofErr w:type="spell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с трубочкой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монотипия пейзажная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печать по трафарету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• монотипия предметная</w:t>
      </w:r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</w:t>
      </w:r>
      <w:proofErr w:type="spell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кляксография</w:t>
      </w:r>
      <w:proofErr w:type="spell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обычная;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• </w:t>
      </w:r>
      <w:proofErr w:type="spell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пластилинография</w:t>
      </w:r>
      <w:proofErr w:type="spellEnd"/>
      <w:proofErr w:type="gram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9E434D">
        <w:rPr>
          <w:rFonts w:ascii="Arial" w:eastAsia="Times New Roman" w:hAnsi="Arial" w:cs="Arial"/>
          <w:sz w:val="21"/>
          <w:szCs w:val="21"/>
          <w:lang w:eastAsia="ru-RU"/>
        </w:rPr>
        <w:t>раскованнее</w:t>
      </w:r>
      <w:proofErr w:type="spellEnd"/>
      <w:r w:rsidRPr="009E434D">
        <w:rPr>
          <w:rFonts w:ascii="Arial" w:eastAsia="Times New Roman" w:hAnsi="Arial" w:cs="Arial"/>
          <w:sz w:val="21"/>
          <w:szCs w:val="21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9E434D" w:rsidRPr="009E434D" w:rsidRDefault="009E434D" w:rsidP="009E434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E434D">
        <w:rPr>
          <w:rFonts w:ascii="Arial" w:eastAsia="Times New Roman" w:hAnsi="Arial" w:cs="Arial"/>
          <w:sz w:val="21"/>
          <w:szCs w:val="21"/>
          <w:lang w:eastAsia="ru-RU"/>
        </w:rPr>
        <w:t>Для того чтобы заинтересовать родителей, в необходимо регулярно организовывать выставки детских работ, проводить консультации, на которых показывать родителям, как рисовать нетрадиционными техниками.</w:t>
      </w:r>
    </w:p>
    <w:sectPr w:rsidR="009E434D" w:rsidRPr="009E434D" w:rsidSect="00CB1801">
      <w:pgSz w:w="11906" w:h="16838"/>
      <w:pgMar w:top="851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D"/>
    <w:rsid w:val="009E434D"/>
    <w:rsid w:val="00BE3FF0"/>
    <w:rsid w:val="00CB1801"/>
    <w:rsid w:val="00D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4</cp:revision>
  <cp:lastPrinted>2015-02-24T07:48:00Z</cp:lastPrinted>
  <dcterms:created xsi:type="dcterms:W3CDTF">2015-02-24T07:38:00Z</dcterms:created>
  <dcterms:modified xsi:type="dcterms:W3CDTF">2015-02-24T07:55:00Z</dcterms:modified>
</cp:coreProperties>
</file>