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CA" w:rsidRDefault="009F6DCA" w:rsidP="009F6DCA">
      <w:pPr>
        <w:pStyle w:val="20"/>
        <w:shd w:val="clear" w:color="auto" w:fill="auto"/>
        <w:spacing w:after="0" w:line="240" w:lineRule="exact"/>
        <w:ind w:left="2644" w:firstLine="188"/>
        <w:rPr>
          <w:lang w:val="ru-RU"/>
        </w:rPr>
      </w:pPr>
    </w:p>
    <w:p w:rsidR="009F6DCA" w:rsidRDefault="009F6DCA" w:rsidP="009F6DCA">
      <w:pPr>
        <w:pStyle w:val="20"/>
        <w:shd w:val="clear" w:color="auto" w:fill="auto"/>
        <w:spacing w:after="0" w:line="240" w:lineRule="exact"/>
        <w:ind w:left="2644" w:firstLine="188"/>
        <w:rPr>
          <w:lang w:val="ru-RU"/>
        </w:rPr>
      </w:pPr>
    </w:p>
    <w:p w:rsidR="00945D4A" w:rsidRPr="009F6DCA" w:rsidRDefault="00B11CCF" w:rsidP="009F6DCA">
      <w:pPr>
        <w:pStyle w:val="20"/>
        <w:shd w:val="clear" w:color="auto" w:fill="auto"/>
        <w:spacing w:after="0" w:line="240" w:lineRule="exact"/>
        <w:ind w:left="2124" w:firstLine="708"/>
      </w:pPr>
      <w:r w:rsidRPr="009F6DCA">
        <w:t>ЦЕНТР ПСИХОЛОГО-ПЕДАГОГИЧЕСКОЙ РЕАБИЛИТАЦИИ И КОРРЕКЦИИ</w:t>
      </w:r>
    </w:p>
    <w:p w:rsidR="009F6DCA" w:rsidRPr="009F6DCA" w:rsidRDefault="00B11CCF" w:rsidP="009F6DCA">
      <w:pPr>
        <w:pStyle w:val="20"/>
        <w:shd w:val="clear" w:color="auto" w:fill="auto"/>
        <w:spacing w:after="4350" w:line="240" w:lineRule="exact"/>
        <w:ind w:left="6064" w:firstLine="308"/>
        <w:rPr>
          <w:lang w:val="ru-RU"/>
        </w:rPr>
      </w:pPr>
      <w:r w:rsidRPr="009F6DCA">
        <w:t>«ПРЕОДОЛЕНИЕ»</w:t>
      </w:r>
    </w:p>
    <w:p w:rsidR="00945D4A" w:rsidRDefault="00B11CCF" w:rsidP="009F6DCA">
      <w:pPr>
        <w:pStyle w:val="1"/>
        <w:shd w:val="clear" w:color="auto" w:fill="auto"/>
        <w:spacing w:before="0" w:after="600"/>
        <w:ind w:left="708" w:right="340"/>
      </w:pPr>
      <w:r>
        <w:t xml:space="preserve">ТЕМА: Теоретическое обоснование использование мелкой моторики, как одной из проблем </w:t>
      </w:r>
      <w:proofErr w:type="spellStart"/>
      <w:r>
        <w:t>психоречевого</w:t>
      </w:r>
      <w:proofErr w:type="spellEnd"/>
      <w:r>
        <w:rPr>
          <w:lang w:val="ru-RU"/>
        </w:rPr>
        <w:t xml:space="preserve"> </w:t>
      </w:r>
      <w:r>
        <w:t xml:space="preserve"> развития ребенка»</w:t>
      </w:r>
    </w:p>
    <w:p w:rsidR="00945D4A" w:rsidRDefault="00B11CCF" w:rsidP="009F6DCA">
      <w:pPr>
        <w:pStyle w:val="1"/>
        <w:shd w:val="clear" w:color="auto" w:fill="auto"/>
        <w:spacing w:before="0" w:after="2157" w:line="520" w:lineRule="exact"/>
        <w:ind w:left="60" w:firstLine="648"/>
        <w:rPr>
          <w:lang w:val="ru-RU"/>
        </w:rPr>
      </w:pPr>
      <w:r>
        <w:t>Консультация для педагогов Центра</w:t>
      </w:r>
    </w:p>
    <w:p w:rsidR="009F6DCA" w:rsidRPr="009F6DCA" w:rsidRDefault="009F6DCA" w:rsidP="009F6DCA">
      <w:pPr>
        <w:pStyle w:val="1"/>
        <w:shd w:val="clear" w:color="auto" w:fill="auto"/>
        <w:spacing w:before="0" w:after="2157" w:line="520" w:lineRule="exact"/>
        <w:ind w:left="60" w:firstLine="648"/>
        <w:rPr>
          <w:lang w:val="ru-RU"/>
        </w:rPr>
      </w:pPr>
    </w:p>
    <w:p w:rsidR="009F6DCA" w:rsidRPr="009F6DCA" w:rsidRDefault="00B11CCF" w:rsidP="009F6DCA">
      <w:pPr>
        <w:pStyle w:val="30"/>
        <w:shd w:val="clear" w:color="auto" w:fill="auto"/>
        <w:spacing w:before="0"/>
        <w:ind w:left="7080" w:right="340" w:firstLine="708"/>
        <w:rPr>
          <w:sz w:val="40"/>
          <w:szCs w:val="40"/>
          <w:lang w:val="ru-RU"/>
        </w:rPr>
      </w:pPr>
      <w:r w:rsidRPr="009F6DCA">
        <w:rPr>
          <w:sz w:val="40"/>
          <w:szCs w:val="40"/>
        </w:rPr>
        <w:t xml:space="preserve">КОНСУЛЬТАЦИЮ </w:t>
      </w:r>
    </w:p>
    <w:p w:rsidR="009F6DCA" w:rsidRPr="009F6DCA" w:rsidRDefault="00B11CCF" w:rsidP="009F6DCA">
      <w:pPr>
        <w:pStyle w:val="30"/>
        <w:shd w:val="clear" w:color="auto" w:fill="auto"/>
        <w:spacing w:before="0"/>
        <w:ind w:left="7080" w:right="340" w:firstLine="708"/>
        <w:rPr>
          <w:rStyle w:val="316pt"/>
          <w:sz w:val="40"/>
          <w:szCs w:val="40"/>
          <w:lang w:val="ru-RU"/>
        </w:rPr>
      </w:pPr>
      <w:r w:rsidRPr="009F6DCA">
        <w:rPr>
          <w:sz w:val="40"/>
          <w:szCs w:val="40"/>
        </w:rPr>
        <w:t xml:space="preserve">ПОДГОТОВИЛА И ПРОВЕЛА </w:t>
      </w:r>
      <w:r w:rsidRPr="009F6DCA">
        <w:rPr>
          <w:rStyle w:val="316pt"/>
          <w:sz w:val="40"/>
          <w:szCs w:val="40"/>
        </w:rPr>
        <w:t>УЧИТЕЛЬ-ДЕФЕКТОЛОГ</w:t>
      </w:r>
    </w:p>
    <w:p w:rsidR="00945D4A" w:rsidRDefault="00B11CCF" w:rsidP="009F6DCA">
      <w:pPr>
        <w:pStyle w:val="30"/>
        <w:shd w:val="clear" w:color="auto" w:fill="auto"/>
        <w:spacing w:before="0"/>
        <w:ind w:left="7080" w:right="340" w:firstLine="708"/>
        <w:rPr>
          <w:rStyle w:val="316pt"/>
          <w:lang w:val="ru-RU"/>
        </w:rPr>
      </w:pPr>
      <w:r w:rsidRPr="009F6DCA">
        <w:rPr>
          <w:rStyle w:val="316pt"/>
          <w:sz w:val="40"/>
          <w:szCs w:val="40"/>
        </w:rPr>
        <w:t xml:space="preserve"> КРУТОВА И.Е.</w:t>
      </w: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 w:rsidP="009F6DCA">
      <w:pPr>
        <w:pStyle w:val="30"/>
        <w:shd w:val="clear" w:color="auto" w:fill="auto"/>
        <w:spacing w:before="0"/>
        <w:ind w:right="340"/>
        <w:jc w:val="left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F6DCA" w:rsidRPr="009F6DCA" w:rsidRDefault="009F6DCA">
      <w:pPr>
        <w:pStyle w:val="30"/>
        <w:shd w:val="clear" w:color="auto" w:fill="auto"/>
        <w:spacing w:before="0"/>
        <w:ind w:left="6300" w:right="340"/>
        <w:rPr>
          <w:lang w:val="ru-RU"/>
        </w:rPr>
      </w:pP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4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lastRenderedPageBreak/>
        <w:t>Уровень развития мелкой моторики -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развита</w:t>
      </w:r>
      <w:r w:rsidRPr="009F6DCA">
        <w:rPr>
          <w:rStyle w:val="415pt"/>
          <w:sz w:val="28"/>
          <w:szCs w:val="28"/>
        </w:rPr>
        <w:t xml:space="preserve"> память и внимание, связная речь.</w:t>
      </w:r>
    </w:p>
    <w:p w:rsidR="00945D4A" w:rsidRPr="009F6DCA" w:rsidRDefault="00B11CCF" w:rsidP="00B43D1F">
      <w:pPr>
        <w:pStyle w:val="40"/>
        <w:shd w:val="clear" w:color="auto" w:fill="auto"/>
        <w:tabs>
          <w:tab w:val="left" w:pos="2104"/>
          <w:tab w:val="left" w:pos="4470"/>
          <w:tab w:val="left" w:pos="7163"/>
        </w:tabs>
        <w:spacing w:line="360" w:lineRule="auto"/>
        <w:ind w:left="4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Учителя отмечают, что первоклассники часто испытывают серьезные трудности с овладением навыков письма. Письмо - это сложный навык, включающий выполнение тонких, координированных движений руки. Техника письма требует сложно</w:t>
      </w:r>
      <w:r w:rsidRPr="009F6DCA">
        <w:rPr>
          <w:rStyle w:val="415pt"/>
          <w:sz w:val="28"/>
          <w:szCs w:val="28"/>
        </w:rPr>
        <w:t>й работы мелких мышц ки</w:t>
      </w:r>
      <w:r w:rsidR="009F6DCA">
        <w:rPr>
          <w:rStyle w:val="415pt"/>
          <w:sz w:val="28"/>
          <w:szCs w:val="28"/>
        </w:rPr>
        <w:t>сти и всей руки, а также хорошо</w:t>
      </w:r>
      <w:r w:rsidR="009F6DCA">
        <w:rPr>
          <w:rStyle w:val="415pt"/>
          <w:sz w:val="28"/>
          <w:szCs w:val="28"/>
          <w:lang w:val="ru-RU"/>
        </w:rPr>
        <w:t xml:space="preserve"> </w:t>
      </w:r>
      <w:r w:rsidRPr="009F6DCA">
        <w:rPr>
          <w:rStyle w:val="415pt"/>
          <w:sz w:val="28"/>
          <w:szCs w:val="28"/>
        </w:rPr>
        <w:t>развитого</w:t>
      </w:r>
      <w:r w:rsidR="009F6DCA">
        <w:rPr>
          <w:rStyle w:val="415pt"/>
          <w:sz w:val="28"/>
          <w:szCs w:val="28"/>
          <w:lang w:val="ru-RU"/>
        </w:rPr>
        <w:t xml:space="preserve"> </w:t>
      </w:r>
      <w:r w:rsidR="009F6DCA">
        <w:rPr>
          <w:rStyle w:val="415pt"/>
          <w:sz w:val="28"/>
          <w:szCs w:val="28"/>
        </w:rPr>
        <w:t>зрительного</w:t>
      </w:r>
      <w:r w:rsidR="009F6DCA">
        <w:rPr>
          <w:rStyle w:val="415pt"/>
          <w:sz w:val="28"/>
          <w:szCs w:val="28"/>
          <w:lang w:val="ru-RU"/>
        </w:rPr>
        <w:t xml:space="preserve"> </w:t>
      </w:r>
      <w:r w:rsidRPr="009F6DCA">
        <w:rPr>
          <w:rStyle w:val="415pt"/>
          <w:sz w:val="28"/>
          <w:szCs w:val="28"/>
        </w:rPr>
        <w:t>восприятия.</w:t>
      </w:r>
      <w:r w:rsidR="00B43D1F">
        <w:rPr>
          <w:rStyle w:val="415pt"/>
          <w:sz w:val="28"/>
          <w:szCs w:val="28"/>
          <w:lang w:val="ru-RU"/>
        </w:rPr>
        <w:t xml:space="preserve"> </w:t>
      </w:r>
      <w:r w:rsidRPr="009F6DCA">
        <w:rPr>
          <w:rStyle w:val="415pt"/>
          <w:sz w:val="28"/>
          <w:szCs w:val="28"/>
        </w:rPr>
        <w:t>Неподготовленность к письму, недостаточное развитие мелкой моторики, зрительного восприятия, внимания, может привести к возникновению негативного отношения к учебе, тр</w:t>
      </w:r>
      <w:r w:rsidRPr="009F6DCA">
        <w:rPr>
          <w:rStyle w:val="415pt"/>
          <w:sz w:val="28"/>
          <w:szCs w:val="28"/>
        </w:rPr>
        <w:t>евожного состояния ребенка в школе.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4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Вот почему так важно в дошкольном возрасте развивать механизмы необходимые для овладения письмом, создать условия для накопления двигательного и практического опыта, развития навыков ручной умелости.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4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 xml:space="preserve">Влияние мануальных (ручных действий) на развитие мозга человека было известно еще во втором веке до нашей эры в Китае. Специалисты утверждали, что игры с участием рук и пальцев приводят в гармоничные отношения тела и разум, поддерживают мозговые системы в </w:t>
      </w:r>
      <w:r w:rsidRPr="009F6DCA">
        <w:rPr>
          <w:rStyle w:val="415pt"/>
          <w:sz w:val="28"/>
          <w:szCs w:val="28"/>
        </w:rPr>
        <w:t>превосходном состоянии.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4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 xml:space="preserve">В Японии широко используются упражнения для ладоней и пальцев с грецкими орехами. Прекрасное тонизирующее и </w:t>
      </w:r>
      <w:proofErr w:type="spellStart"/>
      <w:r w:rsidRPr="009F6DCA">
        <w:rPr>
          <w:rStyle w:val="415pt"/>
          <w:sz w:val="28"/>
          <w:szCs w:val="28"/>
        </w:rPr>
        <w:t>оздоравливающее</w:t>
      </w:r>
      <w:proofErr w:type="spellEnd"/>
      <w:r w:rsidRPr="009F6DCA">
        <w:rPr>
          <w:rStyle w:val="415pt"/>
          <w:sz w:val="28"/>
          <w:szCs w:val="28"/>
        </w:rPr>
        <w:t xml:space="preserve"> действие оказывает перекатывание между ладонями шестигранного карандаша.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4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Работы в В.Н. Бехтерева (известного</w:t>
      </w:r>
      <w:r w:rsidRPr="009F6DCA">
        <w:rPr>
          <w:rStyle w:val="415pt"/>
          <w:sz w:val="28"/>
          <w:szCs w:val="28"/>
        </w:rPr>
        <w:t xml:space="preserve"> российского физиолога) доказали влияние манипуляции рук на функции высшей нервной деятельности, развитие речи.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4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Простые движения пальцев помогают убрать напряжение не только с самих рук, но и с губ, снимают умственную усталость. Они способны улучшить произ</w:t>
      </w:r>
      <w:r w:rsidRPr="009F6DCA">
        <w:rPr>
          <w:rStyle w:val="415pt"/>
          <w:sz w:val="28"/>
          <w:szCs w:val="28"/>
        </w:rPr>
        <w:t>ношение многих звуков, а значит - развивать речь ребенка.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4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Исследование М.М. Кольцовой доказали, что каждый палец руки имеет довольно обширное представительство в коре больших полушарий головного мозга.</w:t>
      </w:r>
      <w:r w:rsidR="009F6DCA" w:rsidRPr="009F6DCA">
        <w:rPr>
          <w:rStyle w:val="415pt"/>
          <w:sz w:val="28"/>
          <w:szCs w:val="28"/>
          <w:lang w:val="ru-RU"/>
        </w:rPr>
        <w:t xml:space="preserve"> </w:t>
      </w:r>
      <w:r w:rsidRPr="009F6DCA">
        <w:rPr>
          <w:rStyle w:val="415pt"/>
          <w:sz w:val="28"/>
          <w:szCs w:val="28"/>
        </w:rPr>
        <w:t>Благодаря развитию пальцев в моз</w:t>
      </w:r>
      <w:r w:rsidRPr="009F6DCA">
        <w:rPr>
          <w:rStyle w:val="415pt"/>
          <w:sz w:val="28"/>
          <w:szCs w:val="28"/>
        </w:rPr>
        <w:t>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6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По данным медиков к 6 - 7 годам, в основном, заканчивается созревание соответствующие зон головного мозга, развитие мелких мышц</w:t>
      </w:r>
      <w:r w:rsidRPr="009F6DCA">
        <w:rPr>
          <w:rStyle w:val="415pt"/>
          <w:sz w:val="28"/>
          <w:szCs w:val="28"/>
        </w:rPr>
        <w:t xml:space="preserve"> кисти.</w:t>
      </w:r>
    </w:p>
    <w:p w:rsidR="00945D4A" w:rsidRPr="009F6DCA" w:rsidRDefault="00B43D1F" w:rsidP="009F6DCA">
      <w:pPr>
        <w:pStyle w:val="40"/>
        <w:shd w:val="clear" w:color="auto" w:fill="auto"/>
        <w:spacing w:line="360" w:lineRule="auto"/>
        <w:ind w:left="60" w:right="40" w:firstLine="380"/>
        <w:rPr>
          <w:sz w:val="28"/>
          <w:szCs w:val="28"/>
        </w:rPr>
      </w:pPr>
      <w:proofErr w:type="gramStart"/>
      <w:r>
        <w:rPr>
          <w:rStyle w:val="415pt"/>
          <w:sz w:val="28"/>
          <w:szCs w:val="28"/>
        </w:rPr>
        <w:t xml:space="preserve">Исходя из этого работа </w:t>
      </w:r>
      <w:r>
        <w:rPr>
          <w:rStyle w:val="415pt"/>
          <w:sz w:val="28"/>
          <w:szCs w:val="28"/>
          <w:lang w:val="ru-RU"/>
        </w:rPr>
        <w:t xml:space="preserve"> </w:t>
      </w:r>
      <w:r w:rsidR="00B11CCF" w:rsidRPr="009F6DCA">
        <w:rPr>
          <w:rStyle w:val="415pt"/>
          <w:sz w:val="28"/>
          <w:szCs w:val="28"/>
        </w:rPr>
        <w:t>по развитию мелкой моторики должна</w:t>
      </w:r>
      <w:proofErr w:type="gramEnd"/>
      <w:r w:rsidR="00B11CCF" w:rsidRPr="009F6DCA">
        <w:rPr>
          <w:rStyle w:val="415pt"/>
          <w:sz w:val="28"/>
          <w:szCs w:val="28"/>
        </w:rPr>
        <w:t xml:space="preserve"> начинаться задолго до поступления в школу.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6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В условиях специализированного детского сада такая работа обязательно должна начинаться с младшей возрастной группы. Именно в младшем возрас</w:t>
      </w:r>
      <w:r w:rsidRPr="009F6DCA">
        <w:rPr>
          <w:rStyle w:val="415pt"/>
          <w:sz w:val="28"/>
          <w:szCs w:val="28"/>
        </w:rPr>
        <w:t>те легче и быстрее активизируются компенсаторные возможности детей.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6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И именно развитию мелкой моторики следует уделить особое внимание.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6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 xml:space="preserve">В данном случае в комплекс коррекционной работы по развитию мелкой моторики в младшей возрастной группе для детей </w:t>
      </w:r>
      <w:proofErr w:type="gramStart"/>
      <w:r w:rsidRPr="009F6DCA">
        <w:rPr>
          <w:rStyle w:val="415pt"/>
          <w:sz w:val="28"/>
          <w:szCs w:val="28"/>
        </w:rPr>
        <w:t>О</w:t>
      </w:r>
      <w:proofErr w:type="gramEnd"/>
      <w:r w:rsidRPr="009F6DCA">
        <w:rPr>
          <w:rStyle w:val="415pt"/>
          <w:sz w:val="28"/>
          <w:szCs w:val="28"/>
          <w:lang w:val="en-US"/>
        </w:rPr>
        <w:t>HP</w:t>
      </w:r>
      <w:r w:rsidRPr="009F6DCA">
        <w:rPr>
          <w:rStyle w:val="415pt"/>
          <w:sz w:val="28"/>
          <w:szCs w:val="28"/>
          <w:lang w:val="ru-RU"/>
        </w:rPr>
        <w:t xml:space="preserve"> </w:t>
      </w:r>
      <w:r w:rsidRPr="009F6DCA">
        <w:rPr>
          <w:rStyle w:val="415pt"/>
          <w:sz w:val="28"/>
          <w:szCs w:val="28"/>
        </w:rPr>
        <w:t xml:space="preserve">и </w:t>
      </w:r>
      <w:r w:rsidRPr="009F6DCA">
        <w:rPr>
          <w:rStyle w:val="415pt"/>
          <w:sz w:val="28"/>
          <w:szCs w:val="28"/>
        </w:rPr>
        <w:t>ЗПР входят следующие виды деятельности: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90"/>
        </w:tabs>
        <w:spacing w:line="360" w:lineRule="auto"/>
        <w:ind w:left="780" w:right="40" w:hanging="34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развитие тонких движений пальцев рук (пальчиковые игры);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800"/>
        </w:tabs>
        <w:spacing w:line="360" w:lineRule="auto"/>
        <w:ind w:left="780" w:right="40" w:hanging="34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 xml:space="preserve">массаж пальцев и кистей рук с помощью </w:t>
      </w:r>
      <w:proofErr w:type="spellStart"/>
      <w:r w:rsidRPr="009F6DCA">
        <w:rPr>
          <w:rStyle w:val="415pt"/>
          <w:sz w:val="28"/>
          <w:szCs w:val="28"/>
        </w:rPr>
        <w:t>суджуков</w:t>
      </w:r>
      <w:proofErr w:type="spellEnd"/>
      <w:r w:rsidRPr="009F6DCA">
        <w:rPr>
          <w:rStyle w:val="415pt"/>
          <w:sz w:val="28"/>
          <w:szCs w:val="28"/>
        </w:rPr>
        <w:t xml:space="preserve"> (специальных </w:t>
      </w:r>
      <w:proofErr w:type="spellStart"/>
      <w:r w:rsidRPr="009F6DCA">
        <w:rPr>
          <w:rStyle w:val="415pt"/>
          <w:sz w:val="28"/>
          <w:szCs w:val="28"/>
        </w:rPr>
        <w:t>массажеров</w:t>
      </w:r>
      <w:proofErr w:type="spellEnd"/>
      <w:r w:rsidRPr="009F6DCA">
        <w:rPr>
          <w:rStyle w:val="415pt"/>
          <w:sz w:val="28"/>
          <w:szCs w:val="28"/>
        </w:rPr>
        <w:t>);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line="360" w:lineRule="auto"/>
        <w:ind w:left="60" w:firstLine="380"/>
        <w:rPr>
          <w:sz w:val="28"/>
          <w:szCs w:val="28"/>
        </w:rPr>
      </w:pPr>
      <w:proofErr w:type="spellStart"/>
      <w:r w:rsidRPr="009F6DCA">
        <w:rPr>
          <w:rStyle w:val="415pt"/>
          <w:sz w:val="28"/>
          <w:szCs w:val="28"/>
        </w:rPr>
        <w:t>самомассаж</w:t>
      </w:r>
      <w:proofErr w:type="spellEnd"/>
      <w:r w:rsidRPr="009F6DCA">
        <w:rPr>
          <w:rStyle w:val="415pt"/>
          <w:sz w:val="28"/>
          <w:szCs w:val="28"/>
        </w:rPr>
        <w:t xml:space="preserve"> с помощью шестигранного карандаша;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line="360" w:lineRule="auto"/>
        <w:ind w:left="6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игры с крупой (сортировка, выбор с закрытыми глазами);</w:t>
      </w:r>
    </w:p>
    <w:p w:rsidR="00945D4A" w:rsidRPr="00B43D1F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800"/>
        </w:tabs>
        <w:spacing w:line="360" w:lineRule="auto"/>
        <w:ind w:left="780" w:right="40" w:hanging="340"/>
        <w:jc w:val="left"/>
        <w:rPr>
          <w:sz w:val="28"/>
          <w:szCs w:val="28"/>
        </w:rPr>
      </w:pPr>
      <w:r w:rsidRPr="00B43D1F">
        <w:rPr>
          <w:rStyle w:val="415pt"/>
          <w:sz w:val="28"/>
          <w:szCs w:val="28"/>
        </w:rPr>
        <w:t xml:space="preserve">развитие графических навыков (работа с развивающей тетрадью по рисованию «Подружись с карандашом» В.И. </w:t>
      </w:r>
      <w:proofErr w:type="spellStart"/>
      <w:r w:rsidRPr="00B43D1F">
        <w:rPr>
          <w:rStyle w:val="415pt"/>
          <w:sz w:val="28"/>
          <w:szCs w:val="28"/>
        </w:rPr>
        <w:t>Агинлов</w:t>
      </w:r>
      <w:proofErr w:type="spellEnd"/>
      <w:r w:rsidRPr="00B43D1F">
        <w:rPr>
          <w:rStyle w:val="415pt"/>
          <w:sz w:val="28"/>
          <w:szCs w:val="28"/>
        </w:rPr>
        <w:t>,</w:t>
      </w:r>
      <w:r w:rsidR="00B43D1F">
        <w:rPr>
          <w:rStyle w:val="415pt"/>
          <w:sz w:val="28"/>
          <w:szCs w:val="28"/>
          <w:lang w:val="ru-RU"/>
        </w:rPr>
        <w:t xml:space="preserve"> </w:t>
      </w:r>
      <w:r w:rsidRPr="00B43D1F">
        <w:rPr>
          <w:rStyle w:val="415pt"/>
          <w:sz w:val="28"/>
          <w:szCs w:val="28"/>
        </w:rPr>
        <w:t xml:space="preserve">С.Г. </w:t>
      </w:r>
      <w:proofErr w:type="spellStart"/>
      <w:r w:rsidRPr="00B43D1F">
        <w:rPr>
          <w:rStyle w:val="415pt"/>
          <w:sz w:val="28"/>
          <w:szCs w:val="28"/>
        </w:rPr>
        <w:t>Анискова</w:t>
      </w:r>
      <w:proofErr w:type="spellEnd"/>
      <w:r w:rsidRPr="00B43D1F">
        <w:rPr>
          <w:rStyle w:val="415pt"/>
          <w:sz w:val="28"/>
          <w:szCs w:val="28"/>
        </w:rPr>
        <w:t>);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90"/>
        </w:tabs>
        <w:spacing w:line="360" w:lineRule="auto"/>
        <w:ind w:left="6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работа со счетными палочками;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line="360" w:lineRule="auto"/>
        <w:ind w:left="780" w:right="40" w:hanging="34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работа с книжкой - наклейкой (из серии «Мел</w:t>
      </w:r>
      <w:r w:rsidRPr="009F6DCA">
        <w:rPr>
          <w:rStyle w:val="415pt"/>
          <w:sz w:val="28"/>
          <w:szCs w:val="28"/>
        </w:rPr>
        <w:t>енькие гении» изд-во «Сова» Санкт-Петербург 1997 г.)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line="360" w:lineRule="auto"/>
        <w:ind w:left="6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работа с мозаикой;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800"/>
        </w:tabs>
        <w:spacing w:line="360" w:lineRule="auto"/>
        <w:ind w:left="6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lastRenderedPageBreak/>
        <w:t>складывание разрезных картинок;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805"/>
        </w:tabs>
        <w:spacing w:line="360" w:lineRule="auto"/>
        <w:ind w:left="6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шнуровка;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line="360" w:lineRule="auto"/>
        <w:ind w:left="6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рисование;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90"/>
        </w:tabs>
        <w:spacing w:line="360" w:lineRule="auto"/>
        <w:ind w:left="6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лепка;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800"/>
        </w:tabs>
        <w:spacing w:line="360" w:lineRule="auto"/>
        <w:ind w:left="6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аппликация.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60" w:right="4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Данные упражнения, как элемент двигательной активности предлагаются детям для переключения на другой вид деятельности, повышение работоспособности, снятия нагрузки.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20" w:right="20"/>
        <w:rPr>
          <w:sz w:val="28"/>
          <w:szCs w:val="28"/>
        </w:rPr>
      </w:pPr>
      <w:proofErr w:type="gramStart"/>
      <w:r w:rsidRPr="009F6DCA">
        <w:rPr>
          <w:rStyle w:val="415pt"/>
          <w:sz w:val="28"/>
          <w:szCs w:val="28"/>
        </w:rPr>
        <w:t>связанной</w:t>
      </w:r>
      <w:proofErr w:type="gramEnd"/>
      <w:r w:rsidRPr="009F6DCA">
        <w:rPr>
          <w:rStyle w:val="415pt"/>
          <w:sz w:val="28"/>
          <w:szCs w:val="28"/>
        </w:rPr>
        <w:t xml:space="preserve"> с сидением, что особенно актуально именно для младшего возраста. Сочетание пальце</w:t>
      </w:r>
      <w:r w:rsidRPr="009F6DCA">
        <w:rPr>
          <w:rStyle w:val="415pt"/>
          <w:sz w:val="28"/>
          <w:szCs w:val="28"/>
        </w:rPr>
        <w:t>вых упражнений с речевым сопровождением позволяет достичь наиболее обучающего эффекта.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Пальчиковые игры хороши еще и тем, что одновременно с развитием тонких движений пальцев рук, ребенок тренирует линейную память, так как не секрет, что дети имеющие задер</w:t>
      </w:r>
      <w:r w:rsidRPr="009F6DCA">
        <w:rPr>
          <w:rStyle w:val="415pt"/>
          <w:sz w:val="28"/>
          <w:szCs w:val="28"/>
        </w:rPr>
        <w:t>жку психического развития, как правило, испытывают трудности при заучивании наизусть. При данном же способе обучения стихотворения запоминаются на удивление легко и быстро.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С помощью элементов пальчиковых игр можно разыгрывать небольшие сценки, пересказыва</w:t>
      </w:r>
      <w:r w:rsidRPr="009F6DCA">
        <w:rPr>
          <w:rStyle w:val="415pt"/>
          <w:sz w:val="28"/>
          <w:szCs w:val="28"/>
        </w:rPr>
        <w:t>ть короткие рассказы, сопровождая их построением фигур из кисти и пальцев руки.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Таким образом, включение упражнений по развитию пальцевой моторики, на занятиях воспитателя и логопеда</w:t>
      </w:r>
      <w:r w:rsidR="00B43D1F">
        <w:rPr>
          <w:rStyle w:val="415pt"/>
          <w:sz w:val="28"/>
          <w:szCs w:val="28"/>
          <w:lang w:val="ru-RU"/>
        </w:rPr>
        <w:t xml:space="preserve"> </w:t>
      </w:r>
      <w:r w:rsidRPr="009F6DCA">
        <w:rPr>
          <w:rStyle w:val="415pt"/>
          <w:sz w:val="28"/>
          <w:szCs w:val="28"/>
        </w:rPr>
        <w:t>- дефектолога играет положительную роль в коррекционном обучении детей с н</w:t>
      </w:r>
      <w:r w:rsidRPr="009F6DCA">
        <w:rPr>
          <w:rStyle w:val="415pt"/>
          <w:sz w:val="28"/>
          <w:szCs w:val="28"/>
        </w:rPr>
        <w:t>арушением речи.</w:t>
      </w:r>
    </w:p>
    <w:p w:rsidR="00945D4A" w:rsidRPr="009F6DCA" w:rsidRDefault="00B11CCF" w:rsidP="009F6DCA">
      <w:pPr>
        <w:pStyle w:val="40"/>
        <w:shd w:val="clear" w:color="auto" w:fill="auto"/>
        <w:spacing w:line="360" w:lineRule="auto"/>
        <w:ind w:left="780" w:hanging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Такой подход позволяет: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55"/>
        </w:tabs>
        <w:spacing w:line="360" w:lineRule="auto"/>
        <w:ind w:left="780" w:right="20" w:hanging="380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 xml:space="preserve">регулярно опосредованно стимулировать действие речевых зон коры головного мозга, что положительно </w:t>
      </w:r>
      <w:proofErr w:type="gramStart"/>
      <w:r w:rsidRPr="009F6DCA">
        <w:rPr>
          <w:rStyle w:val="415pt"/>
          <w:sz w:val="28"/>
          <w:szCs w:val="28"/>
        </w:rPr>
        <w:t>сказывается на исправление</w:t>
      </w:r>
      <w:proofErr w:type="gramEnd"/>
      <w:r w:rsidRPr="009F6DCA">
        <w:rPr>
          <w:rStyle w:val="415pt"/>
          <w:sz w:val="28"/>
          <w:szCs w:val="28"/>
        </w:rPr>
        <w:t xml:space="preserve"> речи детей;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755"/>
        </w:tabs>
        <w:spacing w:line="360" w:lineRule="auto"/>
        <w:ind w:left="780" w:right="20" w:hanging="380"/>
        <w:jc w:val="left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совершенствовать внимание и память - психические процессы, тесно связанные с речью.</w:t>
      </w:r>
    </w:p>
    <w:p w:rsidR="00945D4A" w:rsidRPr="009F6DCA" w:rsidRDefault="00B11CCF" w:rsidP="009F6DCA">
      <w:pPr>
        <w:pStyle w:val="40"/>
        <w:numPr>
          <w:ilvl w:val="0"/>
          <w:numId w:val="1"/>
        </w:numPr>
        <w:shd w:val="clear" w:color="auto" w:fill="auto"/>
        <w:tabs>
          <w:tab w:val="left" w:pos="808"/>
        </w:tabs>
        <w:spacing w:line="360" w:lineRule="auto"/>
        <w:ind w:left="780" w:right="20" w:hanging="380"/>
        <w:jc w:val="left"/>
        <w:rPr>
          <w:sz w:val="28"/>
          <w:szCs w:val="28"/>
        </w:rPr>
      </w:pPr>
      <w:r w:rsidRPr="009F6DCA">
        <w:rPr>
          <w:rStyle w:val="415pt"/>
          <w:sz w:val="28"/>
          <w:szCs w:val="28"/>
        </w:rPr>
        <w:t>облегчить будущим школьникам усвоение навыков письма.</w:t>
      </w:r>
    </w:p>
    <w:sectPr w:rsidR="00945D4A" w:rsidRPr="009F6DCA" w:rsidSect="009F6DCA">
      <w:footerReference w:type="default" r:id="rId8"/>
      <w:pgSz w:w="16837" w:h="23810"/>
      <w:pgMar w:top="1134" w:right="1669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CA" w:rsidRDefault="009F6DCA" w:rsidP="00945D4A">
      <w:r>
        <w:separator/>
      </w:r>
    </w:p>
  </w:endnote>
  <w:endnote w:type="continuationSeparator" w:id="0">
    <w:p w:rsidR="009F6DCA" w:rsidRDefault="009F6DCA" w:rsidP="0094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CA" w:rsidRDefault="009F6DCA" w:rsidP="009F6DCA">
    <w:pPr>
      <w:pStyle w:val="a9"/>
      <w:framePr w:w="13492" w:h="187" w:wrap="none" w:vAnchor="text" w:hAnchor="page" w:x="1673" w:y="-4407"/>
    </w:pPr>
  </w:p>
  <w:p w:rsidR="00945D4A" w:rsidRDefault="00945D4A">
    <w:pPr>
      <w:pStyle w:val="a6"/>
      <w:framePr w:w="13492" w:h="187" w:wrap="none" w:vAnchor="text" w:hAnchor="page" w:x="1673" w:y="-4407"/>
      <w:shd w:val="clear" w:color="auto" w:fill="auto"/>
      <w:ind w:left="99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CA" w:rsidRDefault="009F6DCA"/>
  </w:footnote>
  <w:footnote w:type="continuationSeparator" w:id="0">
    <w:p w:rsidR="009F6DCA" w:rsidRDefault="009F6D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B052E"/>
    <w:multiLevelType w:val="multilevel"/>
    <w:tmpl w:val="2140E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5D4A"/>
    <w:rsid w:val="00945D4A"/>
    <w:rsid w:val="009F6DCA"/>
    <w:rsid w:val="00B11CCF"/>
    <w:rsid w:val="00B4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D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D4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45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"/>
    <w:rsid w:val="00945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3">
    <w:name w:val="Основной текст (3)_"/>
    <w:basedOn w:val="a0"/>
    <w:link w:val="30"/>
    <w:rsid w:val="00945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6pt">
    <w:name w:val="Основной текст (3) + 16 pt"/>
    <w:basedOn w:val="3"/>
    <w:rsid w:val="00945D4A"/>
    <w:rPr>
      <w:spacing w:val="0"/>
      <w:sz w:val="32"/>
      <w:szCs w:val="32"/>
    </w:rPr>
  </w:style>
  <w:style w:type="character" w:customStyle="1" w:styleId="4">
    <w:name w:val="Основной текст (4)_"/>
    <w:basedOn w:val="a0"/>
    <w:link w:val="40"/>
    <w:rsid w:val="00945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5pt">
    <w:name w:val="Основной текст (4) + 15 pt"/>
    <w:basedOn w:val="4"/>
    <w:rsid w:val="00945D4A"/>
    <w:rPr>
      <w:spacing w:val="0"/>
      <w:sz w:val="30"/>
      <w:szCs w:val="30"/>
    </w:rPr>
  </w:style>
  <w:style w:type="character" w:customStyle="1" w:styleId="a5">
    <w:name w:val="Колонтитул_"/>
    <w:basedOn w:val="a0"/>
    <w:link w:val="a6"/>
    <w:rsid w:val="00945D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945D4A"/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945D4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945D4A"/>
    <w:pPr>
      <w:shd w:val="clear" w:color="auto" w:fill="FFFFFF"/>
      <w:spacing w:before="4500" w:after="540" w:line="595" w:lineRule="exact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30">
    <w:name w:val="Основной текст (3)"/>
    <w:basedOn w:val="a"/>
    <w:link w:val="3"/>
    <w:rsid w:val="00945D4A"/>
    <w:pPr>
      <w:shd w:val="clear" w:color="auto" w:fill="FFFFFF"/>
      <w:spacing w:before="2340" w:line="34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945D4A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6">
    <w:name w:val="Колонтитул"/>
    <w:basedOn w:val="a"/>
    <w:link w:val="a5"/>
    <w:rsid w:val="00945D4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F6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DCA"/>
    <w:rPr>
      <w:color w:val="000000"/>
    </w:rPr>
  </w:style>
  <w:style w:type="paragraph" w:styleId="a9">
    <w:name w:val="footer"/>
    <w:basedOn w:val="a"/>
    <w:link w:val="aa"/>
    <w:uiPriority w:val="99"/>
    <w:unhideWhenUsed/>
    <w:rsid w:val="009F6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6DC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F6D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D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3C6E-C583-4B01-8EC2-A56E204B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2011-11-12T05:58:00Z</dcterms:created>
  <dcterms:modified xsi:type="dcterms:W3CDTF">2011-11-12T06:19:00Z</dcterms:modified>
</cp:coreProperties>
</file>