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24E" w:rsidRDefault="0005724E" w:rsidP="0026399F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ДИДАКТИЧЕСКАЯ ИГРА</w:t>
      </w:r>
    </w:p>
    <w:p w:rsidR="0005724E" w:rsidRDefault="0005724E" w:rsidP="000572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 ВОЛШЕБНАЯ  ДОЩЕЧКА»</w:t>
      </w:r>
    </w:p>
    <w:p w:rsidR="0005724E" w:rsidRDefault="0005724E" w:rsidP="000572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05724E" w:rsidRDefault="0005724E" w:rsidP="0005724E">
      <w:pPr>
        <w:jc w:val="both"/>
        <w:rPr>
          <w:sz w:val="28"/>
          <w:szCs w:val="28"/>
        </w:rPr>
      </w:pPr>
      <w:r>
        <w:rPr>
          <w:sz w:val="28"/>
          <w:szCs w:val="28"/>
        </w:rPr>
        <w:t>Прямая:</w:t>
      </w:r>
    </w:p>
    <w:p w:rsidR="0005724E" w:rsidRDefault="0005724E" w:rsidP="0005724E">
      <w:pPr>
        <w:jc w:val="both"/>
        <w:rPr>
          <w:sz w:val="28"/>
          <w:szCs w:val="28"/>
        </w:rPr>
      </w:pPr>
      <w:r>
        <w:rPr>
          <w:sz w:val="28"/>
          <w:szCs w:val="28"/>
        </w:rPr>
        <w:t>1. Закреплять  представление о букве и её пространственной форме;</w:t>
      </w:r>
    </w:p>
    <w:p w:rsidR="0005724E" w:rsidRDefault="0005724E" w:rsidP="0005724E">
      <w:pPr>
        <w:jc w:val="both"/>
        <w:rPr>
          <w:sz w:val="28"/>
          <w:szCs w:val="28"/>
        </w:rPr>
      </w:pPr>
      <w:r>
        <w:rPr>
          <w:sz w:val="28"/>
          <w:szCs w:val="28"/>
        </w:rPr>
        <w:t>2. Развить координацию тонких ручных действий;</w:t>
      </w:r>
    </w:p>
    <w:p w:rsidR="0005724E" w:rsidRDefault="0005724E" w:rsidP="0005724E">
      <w:pPr>
        <w:jc w:val="both"/>
        <w:rPr>
          <w:sz w:val="28"/>
          <w:szCs w:val="28"/>
        </w:rPr>
      </w:pPr>
      <w:r>
        <w:rPr>
          <w:sz w:val="28"/>
          <w:szCs w:val="28"/>
        </w:rPr>
        <w:t>Косвенная:</w:t>
      </w:r>
    </w:p>
    <w:p w:rsidR="0005724E" w:rsidRDefault="0005724E" w:rsidP="0005724E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Концентрация внимания и самоконтроль.</w:t>
      </w:r>
    </w:p>
    <w:p w:rsidR="0005724E" w:rsidRDefault="0005724E" w:rsidP="0005724E">
      <w:pPr>
        <w:jc w:val="both"/>
        <w:rPr>
          <w:sz w:val="28"/>
          <w:szCs w:val="28"/>
        </w:rPr>
      </w:pPr>
    </w:p>
    <w:p w:rsidR="0005724E" w:rsidRDefault="0005724E" w:rsidP="0005724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9E26789" wp14:editId="7DAAF404">
            <wp:extent cx="6172200" cy="2701925"/>
            <wp:effectExtent l="0" t="0" r="0" b="3175"/>
            <wp:docPr id="1" name="Рисунок 1" descr="100_0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00_05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70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24E" w:rsidRDefault="0005724E" w:rsidP="0005724E">
      <w:pPr>
        <w:jc w:val="both"/>
        <w:rPr>
          <w:b/>
          <w:sz w:val="28"/>
          <w:szCs w:val="28"/>
        </w:rPr>
      </w:pPr>
    </w:p>
    <w:p w:rsidR="0005724E" w:rsidRDefault="0005724E" w:rsidP="000572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ИГРОВОЙ МАТЕРИАЛ:</w:t>
      </w:r>
    </w:p>
    <w:p w:rsidR="0005724E" w:rsidRDefault="0005724E" w:rsidP="000572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Деревянная дощечка размером 20х20 см., 15 гвоздиков с пластмассовыми шляпками безопасными для детей. Набор резинок в количестве 5 шт. (для детей общеразвивающих групп можно использовать цветные гвоздики и резинки: красные – гласные, синие и зелёные – согласные).</w:t>
      </w:r>
    </w:p>
    <w:p w:rsidR="0005724E" w:rsidRDefault="0005724E" w:rsidP="0005724E">
      <w:pPr>
        <w:jc w:val="both"/>
        <w:rPr>
          <w:sz w:val="28"/>
          <w:szCs w:val="28"/>
        </w:rPr>
      </w:pPr>
    </w:p>
    <w:p w:rsidR="0005724E" w:rsidRDefault="0005724E" w:rsidP="000572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ИГРОВЫЕ ПРАВИЛА:</w:t>
      </w:r>
    </w:p>
    <w:p w:rsidR="0005724E" w:rsidRDefault="0005724E" w:rsidP="000572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1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для детей с нарушением зрения):</w:t>
      </w:r>
    </w:p>
    <w:p w:rsidR="0005724E" w:rsidRDefault="0005724E" w:rsidP="000572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Дощечку кладут на рабочий стол. Педагог объясняет  ход </w:t>
      </w:r>
      <w:proofErr w:type="gramStart"/>
      <w:r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с резинками комментируя свои действия и предлагает детям выполнить задание по инструкции. « Левой рукой нахожу левый верхний угол, нащупываю гвоздик, правой рукой беру резинку, натягиваю на гвоздь и опускаю руку с резинкой до нижнего левого угла. Далее левой рукой вновь нащупываю левый верхний угол, беру вторую резинку, натягиваю на гвоздик и веду до верхнего правого угла. Далее правой рукой двумя пальцами ощупываю резинки в последовательности работы. Запомните дети! Звук (Г) обозначается вот такой буквой, которую мы сейчас сделали».</w:t>
      </w:r>
    </w:p>
    <w:p w:rsidR="0005724E" w:rsidRDefault="0005724E" w:rsidP="0005724E">
      <w:pPr>
        <w:jc w:val="both"/>
        <w:rPr>
          <w:sz w:val="28"/>
          <w:szCs w:val="28"/>
        </w:rPr>
      </w:pPr>
    </w:p>
    <w:p w:rsidR="0005724E" w:rsidRDefault="0005724E" w:rsidP="0005724E">
      <w:pPr>
        <w:jc w:val="both"/>
        <w:rPr>
          <w:sz w:val="28"/>
          <w:szCs w:val="28"/>
        </w:rPr>
      </w:pPr>
    </w:p>
    <w:p w:rsidR="0005724E" w:rsidRDefault="0005724E" w:rsidP="0005724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9E6E208" wp14:editId="197A1C42">
            <wp:extent cx="6172200" cy="3034030"/>
            <wp:effectExtent l="0" t="0" r="0" b="0"/>
            <wp:docPr id="2" name="Рисунок 2" descr="100_0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00_04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03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24E" w:rsidRDefault="0005724E" w:rsidP="000572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2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для детей общеразвивающих групп):</w:t>
      </w:r>
    </w:p>
    <w:p w:rsidR="0005724E" w:rsidRDefault="0005724E" w:rsidP="000572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Инструкция педагога та же, но выделяется гласный звук – резинкой красного цвета, согласный -  синего или зеленого в зависимости от твердости и мягкости заданного звука в слоге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слове. </w:t>
      </w:r>
    </w:p>
    <w:p w:rsidR="0005724E" w:rsidRDefault="0005724E" w:rsidP="000572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конце игры дети дают полную характеристику слога, слова (если работа осуществлялась с подгруппой детей в количестве 4-6 человек).</w:t>
      </w:r>
    </w:p>
    <w:p w:rsidR="0005724E" w:rsidRDefault="0005724E" w:rsidP="0005724E">
      <w:pPr>
        <w:jc w:val="both"/>
        <w:rPr>
          <w:b/>
          <w:sz w:val="28"/>
          <w:szCs w:val="28"/>
        </w:rPr>
      </w:pPr>
    </w:p>
    <w:p w:rsidR="0005724E" w:rsidRDefault="0005724E" w:rsidP="0005724E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C9AD129" wp14:editId="5A571325">
            <wp:extent cx="6068060" cy="2618740"/>
            <wp:effectExtent l="0" t="0" r="8890" b="0"/>
            <wp:docPr id="3" name="Рисунок 3" descr="100_0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00_04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26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24E" w:rsidRDefault="0005724E" w:rsidP="0005724E">
      <w:pPr>
        <w:jc w:val="both"/>
        <w:rPr>
          <w:b/>
          <w:sz w:val="28"/>
          <w:szCs w:val="28"/>
        </w:rPr>
      </w:pPr>
    </w:p>
    <w:p w:rsidR="0005724E" w:rsidRDefault="0005724E" w:rsidP="000572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ЗАДАНИЯ:</w:t>
      </w:r>
    </w:p>
    <w:p w:rsidR="0005724E" w:rsidRDefault="0005724E" w:rsidP="000572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«Исправь ошибку» -  даётся неправильный вариант буквы, ребёнок объясняет причину допущенной ошибки; </w:t>
      </w:r>
    </w:p>
    <w:p w:rsidR="0005724E" w:rsidRDefault="0005724E" w:rsidP="0005724E">
      <w:pPr>
        <w:jc w:val="both"/>
        <w:rPr>
          <w:sz w:val="28"/>
          <w:szCs w:val="28"/>
        </w:rPr>
      </w:pPr>
      <w:r>
        <w:rPr>
          <w:sz w:val="28"/>
          <w:szCs w:val="28"/>
        </w:rPr>
        <w:t>2. «Дострой букву» - предлагается незаконченный вариант буквы, ребёнок доделывает её;</w:t>
      </w:r>
    </w:p>
    <w:p w:rsidR="0005724E" w:rsidRDefault="0005724E" w:rsidP="0005724E">
      <w:pPr>
        <w:jc w:val="both"/>
        <w:rPr>
          <w:sz w:val="28"/>
          <w:szCs w:val="28"/>
        </w:rPr>
      </w:pPr>
      <w:r>
        <w:rPr>
          <w:sz w:val="28"/>
          <w:szCs w:val="28"/>
        </w:rPr>
        <w:t>3. Эта дощечка может использоваться для составления  геометрических фигур и различных форм, предметов;</w:t>
      </w:r>
    </w:p>
    <w:p w:rsidR="0005724E" w:rsidRDefault="0005724E" w:rsidP="0005724E">
      <w:pPr>
        <w:jc w:val="both"/>
        <w:rPr>
          <w:sz w:val="28"/>
          <w:szCs w:val="28"/>
        </w:rPr>
      </w:pPr>
      <w:r>
        <w:rPr>
          <w:sz w:val="28"/>
          <w:szCs w:val="28"/>
        </w:rPr>
        <w:t>4. Для детей общеразвивающих групп вводится цветовое различие гвоздиков и резинок.</w:t>
      </w:r>
    </w:p>
    <w:p w:rsidR="0005724E" w:rsidRDefault="0005724E" w:rsidP="000572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ХАРАКТЕРИСТИКА МАТЕРИАЛА:</w:t>
      </w:r>
    </w:p>
    <w:p w:rsidR="0005724E" w:rsidRDefault="0005724E" w:rsidP="0005724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Для детей:</w:t>
      </w:r>
    </w:p>
    <w:p w:rsidR="0005724E" w:rsidRDefault="0005724E" w:rsidP="0005724E">
      <w:pPr>
        <w:jc w:val="both"/>
        <w:rPr>
          <w:sz w:val="28"/>
          <w:szCs w:val="28"/>
        </w:rPr>
      </w:pPr>
      <w:r>
        <w:rPr>
          <w:sz w:val="28"/>
          <w:szCs w:val="28"/>
        </w:rPr>
        <w:t>1.Развивает мелкую моторику и пространственно-двигательную координацию;</w:t>
      </w:r>
    </w:p>
    <w:p w:rsidR="0005724E" w:rsidRDefault="0005724E" w:rsidP="0005724E">
      <w:pPr>
        <w:jc w:val="both"/>
        <w:rPr>
          <w:sz w:val="28"/>
          <w:szCs w:val="28"/>
        </w:rPr>
      </w:pPr>
      <w:r>
        <w:rPr>
          <w:sz w:val="28"/>
          <w:szCs w:val="28"/>
        </w:rPr>
        <w:t>2. Создаёт условия для ориентировочно-исследовательской деятельности детей, что достигается через систему действий, включающих не только словесное, но и двигательное ознакомление с буквой, слогом, словом;</w:t>
      </w:r>
    </w:p>
    <w:p w:rsidR="0005724E" w:rsidRDefault="0005724E" w:rsidP="0005724E">
      <w:pPr>
        <w:jc w:val="both"/>
        <w:rPr>
          <w:sz w:val="28"/>
          <w:szCs w:val="28"/>
        </w:rPr>
      </w:pPr>
      <w:r>
        <w:rPr>
          <w:sz w:val="28"/>
          <w:szCs w:val="28"/>
        </w:rPr>
        <w:t>3. Обеспечивает максимальный уровень фонематических, звукобуквенных, графических средств, которые создают предпосылки для перехода к следующему этапу обучени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чтению в школе;</w:t>
      </w:r>
    </w:p>
    <w:p w:rsidR="0005724E" w:rsidRDefault="0005724E" w:rsidP="000572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Закрепляет запас имеющихся представлений о звукобуквенной стороне слова, о качественной характеристике звуков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гласные, согласные: твёрдые и мягкие);</w:t>
      </w:r>
    </w:p>
    <w:p w:rsidR="0005724E" w:rsidRDefault="0005724E" w:rsidP="0005724E">
      <w:pPr>
        <w:jc w:val="both"/>
        <w:rPr>
          <w:sz w:val="28"/>
          <w:szCs w:val="28"/>
        </w:rPr>
      </w:pPr>
      <w:r>
        <w:rPr>
          <w:sz w:val="28"/>
          <w:szCs w:val="28"/>
        </w:rPr>
        <w:t>5.  Способствует овладению ребёнком планирующей и регулирующей функции речи: наличию представления о модели и процессе моделирования буквы; способность комментировать свои действия, анализировать проделанную работу;</w:t>
      </w:r>
    </w:p>
    <w:p w:rsidR="0005724E" w:rsidRDefault="0005724E" w:rsidP="0005724E">
      <w:pPr>
        <w:jc w:val="both"/>
        <w:rPr>
          <w:sz w:val="28"/>
          <w:szCs w:val="28"/>
        </w:rPr>
      </w:pPr>
      <w:r>
        <w:rPr>
          <w:sz w:val="28"/>
          <w:szCs w:val="28"/>
        </w:rPr>
        <w:t>6. Позволяет ребёнку самостоятельно найти и исправить ошибку;</w:t>
      </w:r>
    </w:p>
    <w:p w:rsidR="0005724E" w:rsidRDefault="0005724E" w:rsidP="0005724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Для взрослых:</w:t>
      </w:r>
    </w:p>
    <w:p w:rsidR="0005724E" w:rsidRDefault="0005724E" w:rsidP="0005724E">
      <w:pPr>
        <w:jc w:val="both"/>
        <w:rPr>
          <w:sz w:val="28"/>
          <w:szCs w:val="28"/>
        </w:rPr>
      </w:pPr>
      <w:r>
        <w:rPr>
          <w:sz w:val="28"/>
          <w:szCs w:val="28"/>
        </w:rPr>
        <w:t>7.  Обеспечивает эффективность работы при ознакомлении детей с буквами родного языка;</w:t>
      </w:r>
    </w:p>
    <w:p w:rsidR="0005724E" w:rsidRDefault="0005724E" w:rsidP="0005724E">
      <w:pPr>
        <w:jc w:val="both"/>
        <w:rPr>
          <w:sz w:val="28"/>
          <w:szCs w:val="28"/>
        </w:rPr>
      </w:pPr>
      <w:r>
        <w:rPr>
          <w:sz w:val="28"/>
          <w:szCs w:val="28"/>
        </w:rPr>
        <w:t>8.  Снимает трудности в подборе дидактического материала на занятиях по обучению грамоте;</w:t>
      </w:r>
    </w:p>
    <w:p w:rsidR="0005724E" w:rsidRDefault="0005724E" w:rsidP="0005724E">
      <w:pPr>
        <w:jc w:val="both"/>
        <w:rPr>
          <w:sz w:val="28"/>
          <w:szCs w:val="28"/>
        </w:rPr>
      </w:pPr>
      <w:r>
        <w:rPr>
          <w:sz w:val="28"/>
          <w:szCs w:val="28"/>
        </w:rPr>
        <w:t>9.  Используется педагогом, как на занятиях, так и в повседневной жизни;</w:t>
      </w:r>
    </w:p>
    <w:p w:rsidR="0005724E" w:rsidRDefault="0005724E" w:rsidP="0005724E">
      <w:pPr>
        <w:jc w:val="both"/>
        <w:rPr>
          <w:sz w:val="28"/>
          <w:szCs w:val="28"/>
        </w:rPr>
      </w:pPr>
      <w:r>
        <w:rPr>
          <w:sz w:val="28"/>
          <w:szCs w:val="28"/>
        </w:rPr>
        <w:t>10.  Временные и материальные затраты доступны педагогу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тоимость -30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,  время работы – 40 минут)</w:t>
      </w:r>
    </w:p>
    <w:p w:rsidR="0005724E" w:rsidRDefault="0005724E" w:rsidP="0005724E">
      <w:pPr>
        <w:jc w:val="both"/>
        <w:rPr>
          <w:sz w:val="28"/>
          <w:szCs w:val="28"/>
        </w:rPr>
      </w:pPr>
    </w:p>
    <w:p w:rsidR="0005724E" w:rsidRDefault="0005724E" w:rsidP="000572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ЗНАЧИМОСТЬ  МАТЕРИАЛА:</w:t>
      </w:r>
    </w:p>
    <w:p w:rsidR="0005724E" w:rsidRDefault="0005724E" w:rsidP="000572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Работа с этим материалом закрепляет пространственную  ориентировку и способствует  сенсомоторному развитию ребёнка. </w:t>
      </w:r>
      <w:proofErr w:type="gramStart"/>
      <w:r>
        <w:rPr>
          <w:sz w:val="28"/>
          <w:szCs w:val="28"/>
        </w:rPr>
        <w:t>Овладевает  понятиями «точка, отрезок, вершина,  правый верхний угол, правый нижний угол, левый верхний угол, левый нижний угол, середина».</w:t>
      </w:r>
      <w:proofErr w:type="gramEnd"/>
      <w:r>
        <w:rPr>
          <w:sz w:val="28"/>
          <w:szCs w:val="28"/>
        </w:rPr>
        <w:t xml:space="preserve"> Ребёнок проживает их на  тактильном чувстве, через  мелкую моторику руки. Выстроенные буквы, формы усваиваются ребёнком фактически на подсознательном уровне.</w:t>
      </w:r>
    </w:p>
    <w:p w:rsidR="0005724E" w:rsidRDefault="0005724E" w:rsidP="0005724E">
      <w:pPr>
        <w:jc w:val="both"/>
        <w:rPr>
          <w:sz w:val="28"/>
          <w:szCs w:val="28"/>
        </w:rPr>
      </w:pPr>
    </w:p>
    <w:p w:rsidR="0005724E" w:rsidRDefault="0005724E" w:rsidP="000572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ВЫВОД:</w:t>
      </w:r>
    </w:p>
    <w:p w:rsidR="0005724E" w:rsidRDefault="0005724E" w:rsidP="000572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 Волшебная дощечка» является универсальным материалом, который помогает ребёнку  освоить основы грамоты, приобрести простейшие математические знания,  формирует сосредоточенность,  усидчивость и внимание  вырабатывая тем самым  навык учебной деятельности (ребенок может заниматься с материалом до 12 минут, что соответствует параметрам готовности к восприятию школьного материала).</w:t>
      </w:r>
    </w:p>
    <w:p w:rsidR="0005724E" w:rsidRDefault="0005724E" w:rsidP="0005724E">
      <w:pPr>
        <w:jc w:val="both"/>
        <w:rPr>
          <w:sz w:val="28"/>
          <w:szCs w:val="28"/>
        </w:rPr>
      </w:pPr>
    </w:p>
    <w:p w:rsidR="0005724E" w:rsidRDefault="0005724E" w:rsidP="0005724E">
      <w:pPr>
        <w:jc w:val="both"/>
        <w:rPr>
          <w:sz w:val="32"/>
          <w:szCs w:val="32"/>
        </w:rPr>
      </w:pPr>
    </w:p>
    <w:p w:rsidR="00F23210" w:rsidRDefault="00F23210"/>
    <w:sectPr w:rsidR="00F2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D5392"/>
    <w:multiLevelType w:val="hybridMultilevel"/>
    <w:tmpl w:val="D4A2CECE"/>
    <w:lvl w:ilvl="0" w:tplc="0419000D">
      <w:start w:val="1"/>
      <w:numFmt w:val="bullet"/>
      <w:lvlText w:val="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24E"/>
    <w:rsid w:val="0005724E"/>
    <w:rsid w:val="0026399F"/>
    <w:rsid w:val="00F2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2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2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2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2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2013-12-04T09:43:00Z</dcterms:created>
  <dcterms:modified xsi:type="dcterms:W3CDTF">2013-12-04T09:59:00Z</dcterms:modified>
</cp:coreProperties>
</file>