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3C" w:rsidRPr="008C753C" w:rsidRDefault="008C753C" w:rsidP="008C753C">
      <w:pPr>
        <w:shd w:val="clear" w:color="auto" w:fill="846BAD"/>
        <w:spacing w:after="75" w:line="312" w:lineRule="atLeast"/>
        <w:ind w:left="-75" w:right="-75"/>
        <w:jc w:val="center"/>
        <w:outlineLvl w:val="0"/>
        <w:rPr>
          <w:rFonts w:ascii="Trebuchet MS" w:eastAsia="Times New Roman" w:hAnsi="Trebuchet MS" w:cs="Times New Roman"/>
          <w:b/>
          <w:color w:val="EEECE1" w:themeColor="background2"/>
          <w:kern w:val="36"/>
          <w:sz w:val="32"/>
          <w:szCs w:val="30"/>
          <w:lang w:eastAsia="ru-RU"/>
        </w:rPr>
      </w:pPr>
      <w:r w:rsidRPr="008C753C">
        <w:rPr>
          <w:rFonts w:ascii="Trebuchet MS" w:eastAsia="Times New Roman" w:hAnsi="Trebuchet MS" w:cs="Times New Roman"/>
          <w:b/>
          <w:color w:val="EEECE1" w:themeColor="background2"/>
          <w:kern w:val="36"/>
          <w:sz w:val="32"/>
          <w:szCs w:val="30"/>
          <w:lang w:eastAsia="ru-RU"/>
        </w:rPr>
        <w:t>Использование мнемота</w:t>
      </w:r>
      <w:r>
        <w:rPr>
          <w:rFonts w:ascii="Trebuchet MS" w:eastAsia="Times New Roman" w:hAnsi="Trebuchet MS" w:cs="Times New Roman"/>
          <w:b/>
          <w:color w:val="EEECE1" w:themeColor="background2"/>
          <w:kern w:val="36"/>
          <w:sz w:val="32"/>
          <w:szCs w:val="30"/>
          <w:lang w:eastAsia="ru-RU"/>
        </w:rPr>
        <w:t>блиц при обучении детей грамоте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i/>
          <w:iCs/>
          <w:color w:val="333333"/>
          <w:sz w:val="21"/>
          <w:szCs w:val="21"/>
          <w:lang w:eastAsia="ru-RU"/>
        </w:rPr>
        <w:t> </w:t>
      </w: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Для того чтобы ребёнок научился писать и читать требуется хорошо развитое зрительное восприятие, внимание, память, пространственная ориентировка. Если эти функции у ребёнка, сформированы недостаточно - это затрудняет запоминание образа букв, ведет к их забыванию.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 детей с нарушениями речи наблюдается слабая устойчивость внимания, ограниченные возможности его распределения. Им трудно запомнить сложные зрительные конструкции, их элементы и направления. Без специального обучения дети с большим трудом овладевают навыками чтения и письма. Поэтому поиски разнообразных способов, приёмов и методик в логопедической практике не утратили своей важности.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Пользуясь в своей работе </w:t>
      </w:r>
      <w:proofErr w:type="spell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мне</w:t>
      </w:r>
      <w:bookmarkStart w:id="0" w:name="_GoBack"/>
      <w:bookmarkEnd w:id="0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мотаблицами</w:t>
      </w:r>
      <w:proofErr w:type="spell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(для развития связной речи) мы обратили внимание на то, что они помогают значительно сократить период обучения и в то же время решают задачи направленные 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на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: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• Развитие основных психических функций – восприятия, внимания, памяти.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• Развитие зрительно – пространственных функций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• Развитие связной речи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В результате этого было принято решение использовать </w:t>
      </w:r>
      <w:proofErr w:type="spell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мнемотаблицы</w:t>
      </w:r>
      <w:proofErr w:type="spell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при обучении детей грамоте. Нами были разработаны таблицы, которые позволяют: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sym w:font="Symbol" w:char="F0FC"/>
      </w: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Знакомить детей с образом буквы (из каких элементов она состоит, количество этих элементов, пространственное расположение этих элементов)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sym w:font="Symbol" w:char="F0FC"/>
      </w: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Формировать знания об акустических признаках звуков (гласный-согласный, 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звонкий-глухой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, мягкий-твёрдый)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Далее приведены различные варианты работы с таблицами на примере буквы “П”.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 xml:space="preserve">I вариант. “Запомни и заполни” 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1. Цели:</w:t>
      </w:r>
    </w:p>
    <w:p w:rsidR="008C753C" w:rsidRPr="008C753C" w:rsidRDefault="008C753C" w:rsidP="008C753C">
      <w:pPr>
        <w:numPr>
          <w:ilvl w:val="0"/>
          <w:numId w:val="1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Познакомить (или закрепить) с образом буквы</w:t>
      </w:r>
    </w:p>
    <w:p w:rsidR="008C753C" w:rsidRPr="008C753C" w:rsidRDefault="008C753C" w:rsidP="008C753C">
      <w:pPr>
        <w:numPr>
          <w:ilvl w:val="0"/>
          <w:numId w:val="1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Уточнить, из каких элементов состоит буква, их количество и пространственное расположение.</w:t>
      </w:r>
    </w:p>
    <w:p w:rsidR="008C753C" w:rsidRPr="008C753C" w:rsidRDefault="008C753C" w:rsidP="008C753C">
      <w:pPr>
        <w:numPr>
          <w:ilvl w:val="0"/>
          <w:numId w:val="1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Познакомить (или уточнить) с характеристикой звука (гласный-согласный, звонкий или глухой, мягкий или твёрдый)</w:t>
      </w:r>
    </w:p>
    <w:p w:rsidR="008C753C" w:rsidRPr="008C753C" w:rsidRDefault="008C753C" w:rsidP="008C753C">
      <w:pPr>
        <w:numPr>
          <w:ilvl w:val="0"/>
          <w:numId w:val="1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lastRenderedPageBreak/>
        <w:t>Формировать фонематические представления</w:t>
      </w:r>
    </w:p>
    <w:p w:rsidR="008C753C" w:rsidRPr="008C753C" w:rsidRDefault="008C753C" w:rsidP="008C753C">
      <w:pPr>
        <w:numPr>
          <w:ilvl w:val="0"/>
          <w:numId w:val="1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Развивать зрительное внимание и память</w:t>
      </w:r>
    </w:p>
    <w:p w:rsidR="008C753C" w:rsidRPr="008C753C" w:rsidRDefault="008C753C" w:rsidP="008C753C">
      <w:pPr>
        <w:numPr>
          <w:ilvl w:val="0"/>
          <w:numId w:val="1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зрительно-пространственных представлений</w:t>
      </w:r>
    </w:p>
    <w:p w:rsidR="008C753C" w:rsidRPr="008C753C" w:rsidRDefault="008C753C" w:rsidP="008C753C">
      <w:pPr>
        <w:numPr>
          <w:ilvl w:val="0"/>
          <w:numId w:val="1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связной речи</w:t>
      </w:r>
    </w:p>
    <w:p w:rsidR="008C753C" w:rsidRPr="008C753C" w:rsidRDefault="008C753C" w:rsidP="008C753C">
      <w:pPr>
        <w:numPr>
          <w:ilvl w:val="0"/>
          <w:numId w:val="1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графо-моторных навыков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2. Правила работы с таблицей:</w:t>
      </w:r>
    </w:p>
    <w:p w:rsidR="008C753C" w:rsidRPr="008C753C" w:rsidRDefault="008C753C" w:rsidP="008C753C">
      <w:pPr>
        <w:shd w:val="clear" w:color="auto" w:fill="F0EFFF"/>
        <w:spacing w:before="100" w:beforeAutospacing="1" w:after="15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Ребёнку предлагается рассмотреть таблицу и постараться её запомнить. Одновременно логопед рассказывает, что там нарисовано и почему.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0"/>
      </w:tblGrid>
      <w:tr w:rsidR="008C753C" w:rsidRPr="008C753C" w:rsidTr="008C75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53C" w:rsidRPr="008C753C" w:rsidRDefault="008C753C" w:rsidP="008C753C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C753C">
              <w:rPr>
                <w:rFonts w:ascii="Trebuchet MS" w:eastAsia="Times New Roman" w:hAnsi="Trebuchet M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DF3D01B" wp14:editId="5D835859">
                  <wp:extent cx="2857500" cy="2857500"/>
                  <wp:effectExtent l="0" t="0" r="0" b="0"/>
                  <wp:docPr id="1" name="Рисунок 1" descr="Использование мнемотаблиц при обучении детей грамоте - рис 1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пользование мнемотаблиц при обучении детей грамоте - рис 1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53C" w:rsidRPr="008C753C" w:rsidTr="008C75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53C" w:rsidRPr="008C753C" w:rsidRDefault="008C753C" w:rsidP="008C753C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C753C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br/>
              <w:t>«Использование мнемотаблиц при обучении детей грамоте - рис 1»</w:t>
            </w:r>
            <w:r w:rsidRPr="008C753C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8C753C">
              <w:rPr>
                <w:rFonts w:ascii="Trebuchet MS" w:eastAsia="Times New Roman" w:hAnsi="Trebuchet MS" w:cs="Times New Roman"/>
                <w:i/>
                <w:iCs/>
                <w:color w:val="333333"/>
                <w:sz w:val="21"/>
                <w:szCs w:val="21"/>
                <w:lang w:eastAsia="ru-RU"/>
              </w:rPr>
              <w:t>Нажмите на рисунок, чтобы увеличить</w:t>
            </w:r>
          </w:p>
        </w:tc>
      </w:tr>
    </w:tbl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Логопед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:-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В центральном квадрате находится буква П. Она состоит из 3 -х палочек: 2 -х длинных и одной короткой. Поэтому слева от буквы написана цифра 3, а справа нарисованы три палочки. В левом нижнем углу и в правом нижнем углу нарисованы круги - синий и зелёный, которые показывают, что знакомые уже детям звуки [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] и [</w:t>
      </w:r>
      <w:proofErr w:type="spell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пь</w:t>
      </w:r>
      <w:proofErr w:type="spell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] обозначаются буквой П. В левом верхнем углу (над синим кругом) нарисована палатка, т.к. это слово начинается со звука [п]. В правом верхнем углу 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над зелёным кругом) нарисована пила, т.к. это слово начинается со звука [</w:t>
      </w:r>
      <w:proofErr w:type="spell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пь</w:t>
      </w:r>
      <w:proofErr w:type="spell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]. Под буквой 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нарисован зачёркнутый колокольчик, который обозначает, что звук [п] глухой ( голосок не звенит). Над буквой 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нарисован прямоугольник, т.к. буква П похожа на прямоугольник.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Логопед убирает таблицу и предлагает детям самим вспомнить и заполнить эту таблицу. После того, как дети 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заполнили таблицу им предлагается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рассказать, как они вспомнили то, что там было нарисовано.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II вариант “Заполни сам”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lastRenderedPageBreak/>
        <w:t>1.Цели:</w:t>
      </w:r>
    </w:p>
    <w:p w:rsidR="008C753C" w:rsidRPr="008C753C" w:rsidRDefault="008C753C" w:rsidP="008C753C">
      <w:pPr>
        <w:numPr>
          <w:ilvl w:val="0"/>
          <w:numId w:val="2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 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Познакомить (или закрепить) с образом буквы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Уточнить, из каких элементов состоит буква, их количество и пространственное расположение.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Познакомить (или уточнить) с характеристикой звука (гласный-согласный, звонкий или глухой, мягкий или твёрдый)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Формировать фонематические представления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зрительно-пространственных представлений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Развивать зрительное внимание и память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логического мышления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связной речи</w:t>
      </w:r>
    </w:p>
    <w:p w:rsidR="008C753C" w:rsidRPr="008C753C" w:rsidRDefault="008C753C" w:rsidP="008C753C">
      <w:pPr>
        <w:numPr>
          <w:ilvl w:val="1"/>
          <w:numId w:val="3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графо-моторных навыков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2. Правила работы с таблицей:</w:t>
      </w:r>
    </w:p>
    <w:p w:rsidR="008C753C" w:rsidRPr="008C753C" w:rsidRDefault="008C753C" w:rsidP="008C753C">
      <w:pPr>
        <w:shd w:val="clear" w:color="auto" w:fill="F0EFFF"/>
        <w:spacing w:before="100" w:beforeAutospacing="1" w:after="15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После того, как дети познакомились с 1 вариантом работы по таблицам, им предлагается самим попробовать заполнить таблицу и объяснить, как они это сделали.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0"/>
      </w:tblGrid>
      <w:tr w:rsidR="008C753C" w:rsidRPr="008C753C" w:rsidTr="008C75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53C" w:rsidRPr="008C753C" w:rsidRDefault="008C753C" w:rsidP="008C753C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C753C">
              <w:rPr>
                <w:rFonts w:ascii="Trebuchet MS" w:eastAsia="Times New Roman" w:hAnsi="Trebuchet M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1731D05" wp14:editId="682D3A7B">
                  <wp:extent cx="2857500" cy="2809875"/>
                  <wp:effectExtent l="0" t="0" r="0" b="9525"/>
                  <wp:docPr id="2" name="Рисунок 2" descr="Использование мнемотаблиц при обучении детей грамоте - рис 2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спользование мнемотаблиц при обучении детей грамоте - рис 2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53C" w:rsidRPr="008C753C" w:rsidTr="008C75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53C" w:rsidRPr="008C753C" w:rsidRDefault="008C753C" w:rsidP="008C753C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C753C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br/>
              <w:t>«Использование мнемотаблиц при обучении детей грамоте - рис 2»</w:t>
            </w:r>
            <w:r w:rsidRPr="008C753C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8C753C">
              <w:rPr>
                <w:rFonts w:ascii="Trebuchet MS" w:eastAsia="Times New Roman" w:hAnsi="Trebuchet MS" w:cs="Times New Roman"/>
                <w:i/>
                <w:iCs/>
                <w:color w:val="333333"/>
                <w:sz w:val="21"/>
                <w:szCs w:val="21"/>
                <w:lang w:eastAsia="ru-RU"/>
              </w:rPr>
              <w:t>Нажмите на рисунок, чтобы увеличить</w:t>
            </w:r>
          </w:p>
        </w:tc>
      </w:tr>
    </w:tbl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III вариант “Найди ошибку”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1. Цели:</w:t>
      </w:r>
    </w:p>
    <w:p w:rsidR="008C753C" w:rsidRPr="008C753C" w:rsidRDefault="008C753C" w:rsidP="008C753C">
      <w:pPr>
        <w:numPr>
          <w:ilvl w:val="0"/>
          <w:numId w:val="4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Познакомить (или закрепить) с образом буквы</w:t>
      </w:r>
    </w:p>
    <w:p w:rsidR="008C753C" w:rsidRPr="008C753C" w:rsidRDefault="008C753C" w:rsidP="008C753C">
      <w:pPr>
        <w:numPr>
          <w:ilvl w:val="0"/>
          <w:numId w:val="4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lastRenderedPageBreak/>
        <w:t>Уточнить, из каких элементов состоит буква, их количество и пространственное расположение.</w:t>
      </w:r>
    </w:p>
    <w:p w:rsidR="008C753C" w:rsidRPr="008C753C" w:rsidRDefault="008C753C" w:rsidP="008C753C">
      <w:pPr>
        <w:numPr>
          <w:ilvl w:val="0"/>
          <w:numId w:val="4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Познакомить (или уточнить) с характеристикой звука (гласный-согласный, звонкий или глухой, мягкий или твёрдый)</w:t>
      </w:r>
    </w:p>
    <w:p w:rsidR="008C753C" w:rsidRPr="008C753C" w:rsidRDefault="008C753C" w:rsidP="008C753C">
      <w:pPr>
        <w:numPr>
          <w:ilvl w:val="0"/>
          <w:numId w:val="4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Формировать фонематические представления</w:t>
      </w:r>
    </w:p>
    <w:p w:rsidR="008C753C" w:rsidRPr="008C753C" w:rsidRDefault="008C753C" w:rsidP="008C753C">
      <w:pPr>
        <w:numPr>
          <w:ilvl w:val="0"/>
          <w:numId w:val="4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зрительно-пространственных представлений</w:t>
      </w:r>
    </w:p>
    <w:p w:rsidR="008C753C" w:rsidRPr="008C753C" w:rsidRDefault="008C753C" w:rsidP="008C753C">
      <w:pPr>
        <w:numPr>
          <w:ilvl w:val="0"/>
          <w:numId w:val="4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логического мышления</w:t>
      </w:r>
    </w:p>
    <w:p w:rsidR="008C753C" w:rsidRPr="008C753C" w:rsidRDefault="008C753C" w:rsidP="008C753C">
      <w:pPr>
        <w:numPr>
          <w:ilvl w:val="0"/>
          <w:numId w:val="4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связной речи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2. Правила работы с таблицей:</w:t>
      </w:r>
    </w:p>
    <w:p w:rsidR="008C753C" w:rsidRPr="008C753C" w:rsidRDefault="008C753C" w:rsidP="008C753C">
      <w:pPr>
        <w:shd w:val="clear" w:color="auto" w:fill="F0EFFF"/>
        <w:spacing w:before="100" w:beforeAutospacing="1" w:after="15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Детям предлагается рассмотреть заполненную таблицу и найти в ней ошибку.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0"/>
      </w:tblGrid>
      <w:tr w:rsidR="008C753C" w:rsidRPr="008C753C" w:rsidTr="008C75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53C" w:rsidRPr="008C753C" w:rsidRDefault="008C753C" w:rsidP="008C753C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C753C">
              <w:rPr>
                <w:rFonts w:ascii="Trebuchet MS" w:eastAsia="Times New Roman" w:hAnsi="Trebuchet M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ADDF414" wp14:editId="2FE99216">
                  <wp:extent cx="2857500" cy="2809875"/>
                  <wp:effectExtent l="0" t="0" r="0" b="9525"/>
                  <wp:docPr id="3" name="Рисунок 3" descr="Использование мнемотаблиц при обучении детей грамоте - рис 3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спользование мнемотаблиц при обучении детей грамоте - рис 3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53C" w:rsidRPr="008C753C" w:rsidTr="008C75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53C" w:rsidRPr="008C753C" w:rsidRDefault="008C753C" w:rsidP="008C753C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C753C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br/>
              <w:t>«Использование мнемотаблиц при обучении детей грамоте - рис 3»</w:t>
            </w:r>
            <w:r w:rsidRPr="008C753C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8C753C">
              <w:rPr>
                <w:rFonts w:ascii="Trebuchet MS" w:eastAsia="Times New Roman" w:hAnsi="Trebuchet MS" w:cs="Times New Roman"/>
                <w:i/>
                <w:iCs/>
                <w:color w:val="333333"/>
                <w:sz w:val="21"/>
                <w:szCs w:val="21"/>
                <w:lang w:eastAsia="ru-RU"/>
              </w:rPr>
              <w:t>Нажмите на рисунок, чтобы увеличить</w:t>
            </w:r>
          </w:p>
        </w:tc>
      </w:tr>
    </w:tbl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Дети объясняют, что нарисован колокольчик, который не зачёркнут – это не верно, т.к. звук [</w:t>
      </w: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</w:t>
      </w:r>
      <w:proofErr w:type="gramEnd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] глухой (голосок не звенит)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IV вариант “Подбери букву”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1. Цели:</w:t>
      </w:r>
    </w:p>
    <w:p w:rsidR="008C753C" w:rsidRPr="008C753C" w:rsidRDefault="008C753C" w:rsidP="008C753C">
      <w:pPr>
        <w:numPr>
          <w:ilvl w:val="0"/>
          <w:numId w:val="5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Уточнить, из каких элементов состоит буква, их количество и пространственное расположение.</w:t>
      </w:r>
    </w:p>
    <w:p w:rsidR="008C753C" w:rsidRPr="008C753C" w:rsidRDefault="008C753C" w:rsidP="008C753C">
      <w:pPr>
        <w:numPr>
          <w:ilvl w:val="0"/>
          <w:numId w:val="5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Познакомить (или уточнить) с характеристикой звука (гласный-согласный, звонкий или глухой, мягкий или твёрдый)</w:t>
      </w:r>
    </w:p>
    <w:p w:rsidR="008C753C" w:rsidRPr="008C753C" w:rsidRDefault="008C753C" w:rsidP="008C753C">
      <w:pPr>
        <w:numPr>
          <w:ilvl w:val="0"/>
          <w:numId w:val="5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Формировать фонематические представления</w:t>
      </w:r>
    </w:p>
    <w:p w:rsidR="008C753C" w:rsidRPr="008C753C" w:rsidRDefault="008C753C" w:rsidP="008C753C">
      <w:pPr>
        <w:numPr>
          <w:ilvl w:val="0"/>
          <w:numId w:val="5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lastRenderedPageBreak/>
        <w:t>Развитие зрительно-пространственных представлений</w:t>
      </w:r>
    </w:p>
    <w:p w:rsidR="008C753C" w:rsidRPr="008C753C" w:rsidRDefault="008C753C" w:rsidP="008C753C">
      <w:pPr>
        <w:numPr>
          <w:ilvl w:val="0"/>
          <w:numId w:val="5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логического мышления</w:t>
      </w:r>
    </w:p>
    <w:p w:rsidR="008C753C" w:rsidRPr="008C753C" w:rsidRDefault="008C753C" w:rsidP="008C753C">
      <w:pPr>
        <w:numPr>
          <w:ilvl w:val="0"/>
          <w:numId w:val="5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Развитие связной речи</w:t>
      </w:r>
    </w:p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2. Правила работы с таблицей:</w:t>
      </w:r>
    </w:p>
    <w:p w:rsidR="008C753C" w:rsidRPr="008C753C" w:rsidRDefault="008C753C" w:rsidP="008C753C">
      <w:pPr>
        <w:shd w:val="clear" w:color="auto" w:fill="F0EFFF"/>
        <w:spacing w:before="100" w:beforeAutospacing="1" w:after="15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Детям предлагается заполненная таблица, только без буквы в центре. Детям предлагается подумать, догадаться и объяснить, какая это буква может быть.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0"/>
      </w:tblGrid>
      <w:tr w:rsidR="008C753C" w:rsidRPr="008C753C" w:rsidTr="008C75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53C" w:rsidRPr="008C753C" w:rsidRDefault="008C753C" w:rsidP="008C753C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C753C">
              <w:rPr>
                <w:rFonts w:ascii="Trebuchet MS" w:eastAsia="Times New Roman" w:hAnsi="Trebuchet M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910D50E" wp14:editId="65CA1CED">
                  <wp:extent cx="2857500" cy="2809875"/>
                  <wp:effectExtent l="0" t="0" r="0" b="9525"/>
                  <wp:docPr id="4" name="Рисунок 4" descr="Использование мнемотаблиц при обучении детей грамоте - рис 2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спользование мнемотаблиц при обучении детей грамоте - рис 2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53C" w:rsidRPr="008C753C" w:rsidTr="008C75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C753C" w:rsidRPr="008C753C" w:rsidRDefault="008C753C" w:rsidP="008C753C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C753C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br/>
              <w:t>«Использование мнемотаблиц при обучении детей грамоте - рис 2»</w:t>
            </w:r>
            <w:r w:rsidRPr="008C753C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8C753C">
              <w:rPr>
                <w:rFonts w:ascii="Trebuchet MS" w:eastAsia="Times New Roman" w:hAnsi="Trebuchet MS" w:cs="Times New Roman"/>
                <w:i/>
                <w:iCs/>
                <w:color w:val="333333"/>
                <w:sz w:val="21"/>
                <w:szCs w:val="21"/>
                <w:lang w:eastAsia="ru-RU"/>
              </w:rPr>
              <w:t>Нажмите на рисунок, чтобы увеличить</w:t>
            </w:r>
          </w:p>
        </w:tc>
      </w:tr>
    </w:tbl>
    <w:p w:rsidR="008C753C" w:rsidRPr="008C753C" w:rsidRDefault="008C753C" w:rsidP="008C753C">
      <w:p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Используя в работе по обучению грамоте детей с общим недоразвитием речи таблицы, о которых сказано выше, мы достигли следующих результатов:</w:t>
      </w:r>
    </w:p>
    <w:p w:rsidR="008C753C" w:rsidRPr="008C753C" w:rsidRDefault="008C753C" w:rsidP="008C753C">
      <w:pPr>
        <w:numPr>
          <w:ilvl w:val="0"/>
          <w:numId w:val="6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Уменьшилось количество ошибок при написании букв имеющих свойство зеркальности</w:t>
      </w:r>
    </w:p>
    <w:p w:rsidR="008C753C" w:rsidRPr="008C753C" w:rsidRDefault="008C753C" w:rsidP="008C753C">
      <w:pPr>
        <w:numPr>
          <w:ilvl w:val="0"/>
          <w:numId w:val="6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proofErr w:type="gramStart"/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Дети стали лучше усваивать такие абстрактные понятия, как “буква”, “звук”, “гласный”, “согласный”, “мягкий”, “твёрдый”, “звонкий”, “глухой”.</w:t>
      </w:r>
      <w:proofErr w:type="gramEnd"/>
    </w:p>
    <w:p w:rsidR="008C753C" w:rsidRPr="008C753C" w:rsidRDefault="008C753C" w:rsidP="008C753C">
      <w:pPr>
        <w:numPr>
          <w:ilvl w:val="0"/>
          <w:numId w:val="6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 детей улучшилось внимание, память, логическое мышление, графо – моторные навыки</w:t>
      </w:r>
    </w:p>
    <w:p w:rsidR="008C753C" w:rsidRPr="008C753C" w:rsidRDefault="008C753C" w:rsidP="008C753C">
      <w:pPr>
        <w:numPr>
          <w:ilvl w:val="0"/>
          <w:numId w:val="6"/>
        </w:numPr>
        <w:shd w:val="clear" w:color="auto" w:fill="F0EFFF"/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8C753C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Повысился интерес к занятиям</w:t>
      </w:r>
    </w:p>
    <w:p w:rsidR="008C753C" w:rsidRPr="008C753C" w:rsidRDefault="008C753C" w:rsidP="008C753C">
      <w:pPr>
        <w:shd w:val="clear" w:color="auto" w:fill="F0EFFF"/>
        <w:spacing w:before="100" w:beforeAutospacing="1" w:after="15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val="en-US"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C753C" w:rsidRPr="008C753C" w:rsidRDefault="008C753C" w:rsidP="008C753C">
      <w:pPr>
        <w:shd w:val="clear" w:color="auto" w:fill="F0EFFF"/>
        <w:spacing w:after="150" w:line="312" w:lineRule="atLeast"/>
        <w:rPr>
          <w:rFonts w:ascii="Trebuchet MS" w:eastAsia="Times New Roman" w:hAnsi="Trebuchet MS" w:cs="Times New Roman"/>
          <w:vanish/>
          <w:color w:val="333333"/>
          <w:sz w:val="21"/>
          <w:szCs w:val="21"/>
          <w:lang w:eastAsia="ru-RU"/>
        </w:rPr>
      </w:pPr>
    </w:p>
    <w:p w:rsidR="00823974" w:rsidRDefault="00823974"/>
    <w:sectPr w:rsidR="0082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0337"/>
    <w:multiLevelType w:val="multilevel"/>
    <w:tmpl w:val="0F5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A704D"/>
    <w:multiLevelType w:val="multilevel"/>
    <w:tmpl w:val="29F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862CB"/>
    <w:multiLevelType w:val="multilevel"/>
    <w:tmpl w:val="C4E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C20BC"/>
    <w:multiLevelType w:val="multilevel"/>
    <w:tmpl w:val="268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7462B"/>
    <w:multiLevelType w:val="multilevel"/>
    <w:tmpl w:val="29F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3C"/>
    <w:rsid w:val="00823974"/>
    <w:rsid w:val="008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kipu.umi.ru/go-out.php?url=http://logoped.ru/images/sulus01b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sitekipu.umi.ru/go-out.php?url=http://logoped.ru/images/sulus01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kipu.umi.ru/go-out.php?url=http://logoped.ru/images/sulus01a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tekipu.umi.ru/go-out.php?url=http://logoped.ru/images/sulus01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Jukia</dc:creator>
  <cp:lastModifiedBy>Jukia</cp:lastModifiedBy>
  <cp:revision>1</cp:revision>
  <dcterms:created xsi:type="dcterms:W3CDTF">2015-04-14T20:10:00Z</dcterms:created>
  <dcterms:modified xsi:type="dcterms:W3CDTF">2015-04-14T20:14:00Z</dcterms:modified>
</cp:coreProperties>
</file>