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3" w:rsidRPr="00163C03" w:rsidRDefault="00163C03" w:rsidP="00163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63C03">
        <w:rPr>
          <w:rFonts w:ascii="Times New Roman" w:eastAsia="Times New Roman" w:hAnsi="Times New Roman" w:cs="Times New Roman"/>
          <w:b/>
          <w:color w:val="000000" w:themeColor="text1"/>
        </w:rPr>
        <w:t>Математические игры как средство пропедевтики математических понятий</w:t>
      </w:r>
    </w:p>
    <w:p w:rsidR="00163C03" w:rsidRDefault="00163C03" w:rsidP="00DE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63C03" w:rsidRDefault="00163C03" w:rsidP="00DE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D2E39" w:rsidRPr="00DE485A" w:rsidRDefault="005E45D4" w:rsidP="00DE4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E485A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EE3D46" w:rsidRPr="00DE485A">
        <w:rPr>
          <w:rFonts w:ascii="Times New Roman" w:eastAsia="Times New Roman" w:hAnsi="Times New Roman" w:cs="Times New Roman"/>
          <w:color w:val="000000" w:themeColor="text1"/>
        </w:rPr>
        <w:t>В педагогике</w:t>
      </w:r>
      <w:r w:rsidRPr="00DE485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25AF9" w:rsidRPr="00DE485A">
        <w:rPr>
          <w:rFonts w:ascii="Times New Roman" w:eastAsia="Times New Roman" w:hAnsi="Times New Roman" w:cs="Times New Roman"/>
          <w:color w:val="000000" w:themeColor="text1"/>
        </w:rPr>
        <w:t xml:space="preserve">особое место </w:t>
      </w:r>
      <w:r w:rsidRPr="00DE485A">
        <w:rPr>
          <w:rFonts w:ascii="Times New Roman" w:eastAsia="Times New Roman" w:hAnsi="Times New Roman" w:cs="Times New Roman"/>
          <w:color w:val="000000" w:themeColor="text1"/>
        </w:rPr>
        <w:t>отводится</w:t>
      </w:r>
      <w:r w:rsidR="00E25AF9" w:rsidRPr="00DE485A">
        <w:rPr>
          <w:rFonts w:ascii="Times New Roman" w:eastAsia="Times New Roman" w:hAnsi="Times New Roman" w:cs="Times New Roman"/>
          <w:color w:val="000000" w:themeColor="text1"/>
        </w:rPr>
        <w:t xml:space="preserve"> игре</w:t>
      </w:r>
      <w:r w:rsidRPr="00DE485A">
        <w:rPr>
          <w:rFonts w:ascii="Times New Roman" w:eastAsia="Times New Roman" w:hAnsi="Times New Roman" w:cs="Times New Roman"/>
          <w:color w:val="000000" w:themeColor="text1"/>
        </w:rPr>
        <w:t>. И определяется это тем, что игра очень созвучна природе ребенка. Ребенок от рождения и до наступления зрелости уделяет огромное вниман</w:t>
      </w:r>
      <w:r w:rsidR="008717F4" w:rsidRPr="00DE485A">
        <w:rPr>
          <w:rFonts w:ascii="Times New Roman" w:eastAsia="Times New Roman" w:hAnsi="Times New Roman" w:cs="Times New Roman"/>
          <w:color w:val="000000" w:themeColor="text1"/>
        </w:rPr>
        <w:t>ие играм. В процессе развития ребенка и</w:t>
      </w:r>
      <w:r w:rsidR="004D2E39" w:rsidRPr="00DE485A">
        <w:rPr>
          <w:rFonts w:ascii="Times New Roman" w:hAnsi="Times New Roman" w:cs="Times New Roman"/>
          <w:bCs/>
          <w:color w:val="000000" w:themeColor="text1"/>
        </w:rPr>
        <w:t>гра проходит различные этапы</w:t>
      </w:r>
      <w:r w:rsidR="004D2E39" w:rsidRPr="00DE485A">
        <w:rPr>
          <w:rFonts w:ascii="Times New Roman" w:hAnsi="Times New Roman" w:cs="Times New Roman"/>
          <w:color w:val="000000" w:themeColor="text1"/>
        </w:rPr>
        <w:t>. По Д. Б. Эльконину, сначала появляется предметная игра, когда ребенок воспроизводит предметные действия взрослых. Затем на первый план выходит игра сюжетно-ролевая, направленная на воспроизведение отношений между взрослыми людьми. В конце дошкольного детства появляется игра с правилами</w:t>
      </w:r>
      <w:r w:rsidRPr="00DE485A">
        <w:rPr>
          <w:rFonts w:ascii="Times New Roman" w:hAnsi="Times New Roman" w:cs="Times New Roman"/>
          <w:color w:val="000000" w:themeColor="text1"/>
        </w:rPr>
        <w:t xml:space="preserve"> – вид групповой или парной игры, в которой действия участников и их взаимоотношения регламентированы заранее сформулированными правилами, обязательными для всех участников. </w:t>
      </w:r>
      <w:r w:rsidR="004D2E39" w:rsidRPr="00DE485A">
        <w:rPr>
          <w:rFonts w:ascii="Times New Roman" w:hAnsi="Times New Roman" w:cs="Times New Roman"/>
          <w:color w:val="000000" w:themeColor="text1"/>
        </w:rPr>
        <w:t>Игры с правилами занимают большое место у детей школьного возраста, перерастая в</w:t>
      </w:r>
      <w:r w:rsidRPr="00DE485A">
        <w:rPr>
          <w:rFonts w:ascii="Times New Roman" w:hAnsi="Times New Roman" w:cs="Times New Roman"/>
          <w:color w:val="000000" w:themeColor="text1"/>
        </w:rPr>
        <w:t xml:space="preserve">о всевозможные спортивные игры – </w:t>
      </w:r>
      <w:r w:rsidR="004D2E39" w:rsidRPr="00DE485A">
        <w:rPr>
          <w:rFonts w:ascii="Times New Roman" w:hAnsi="Times New Roman" w:cs="Times New Roman"/>
          <w:color w:val="000000" w:themeColor="text1"/>
        </w:rPr>
        <w:t>двигательные и умственные (футбол, хоккей, шахматы и др.).</w:t>
      </w:r>
    </w:p>
    <w:p w:rsidR="008717F4" w:rsidRPr="00DE485A" w:rsidRDefault="005E45D4" w:rsidP="00DE485A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color w:val="000000" w:themeColor="text1"/>
          <w:sz w:val="22"/>
          <w:szCs w:val="22"/>
        </w:rPr>
      </w:pPr>
      <w:r w:rsidRPr="00DE485A">
        <w:rPr>
          <w:b w:val="0"/>
          <w:color w:val="000000" w:themeColor="text1"/>
          <w:sz w:val="22"/>
          <w:szCs w:val="22"/>
        </w:rPr>
        <w:t xml:space="preserve">      </w:t>
      </w:r>
      <w:r w:rsidR="00EE3D46" w:rsidRPr="00DE485A">
        <w:rPr>
          <w:b w:val="0"/>
          <w:color w:val="000000" w:themeColor="text1"/>
          <w:sz w:val="22"/>
          <w:szCs w:val="22"/>
        </w:rPr>
        <w:t xml:space="preserve">В процессе школьного обучения </w:t>
      </w:r>
      <w:r w:rsidR="00E25AF9" w:rsidRPr="00DE485A">
        <w:rPr>
          <w:b w:val="0"/>
          <w:color w:val="000000" w:themeColor="text1"/>
          <w:sz w:val="22"/>
          <w:szCs w:val="22"/>
        </w:rPr>
        <w:t xml:space="preserve">применяется разновидность игры по правилам – дидактическая </w:t>
      </w:r>
      <w:r w:rsidR="00083DE5" w:rsidRPr="00DE485A">
        <w:rPr>
          <w:b w:val="0"/>
          <w:color w:val="000000" w:themeColor="text1"/>
          <w:sz w:val="22"/>
          <w:szCs w:val="22"/>
        </w:rPr>
        <w:t>игра, организуемая</w:t>
      </w:r>
      <w:r w:rsidR="00EE3D46" w:rsidRPr="00DE485A">
        <w:rPr>
          <w:b w:val="0"/>
          <w:color w:val="000000" w:themeColor="text1"/>
          <w:sz w:val="22"/>
          <w:szCs w:val="22"/>
        </w:rPr>
        <w:t xml:space="preserve"> учителем</w:t>
      </w:r>
      <w:r w:rsidR="004D2E39" w:rsidRPr="00DE485A">
        <w:rPr>
          <w:b w:val="0"/>
          <w:color w:val="000000" w:themeColor="text1"/>
          <w:sz w:val="22"/>
          <w:szCs w:val="22"/>
        </w:rPr>
        <w:t xml:space="preserve"> для решения обучающей задачи. </w:t>
      </w:r>
      <w:r w:rsidR="00E25AF9" w:rsidRPr="00DE485A">
        <w:rPr>
          <w:b w:val="0"/>
          <w:color w:val="000000" w:themeColor="text1"/>
          <w:sz w:val="22"/>
          <w:szCs w:val="22"/>
        </w:rPr>
        <w:t xml:space="preserve">Она предусматривает необходимость овладения знаниями, нужными для реализации замысла игры. </w:t>
      </w:r>
      <w:r w:rsidR="00DE485A" w:rsidRPr="00DE485A">
        <w:rPr>
          <w:b w:val="0"/>
          <w:color w:val="000000" w:themeColor="text1"/>
          <w:sz w:val="22"/>
          <w:szCs w:val="22"/>
        </w:rPr>
        <w:t xml:space="preserve">Эффективность данного средства обучения не вызывает сомнения. </w:t>
      </w:r>
      <w:r w:rsidR="00EE3D46" w:rsidRPr="00DE485A">
        <w:rPr>
          <w:b w:val="0"/>
          <w:color w:val="000000" w:themeColor="text1"/>
          <w:sz w:val="22"/>
          <w:szCs w:val="22"/>
        </w:rPr>
        <w:t xml:space="preserve">Дидактические игры способствуют развитию способностей и потребностей познавательного характера, интеллектуальных и нравственно-волевых качеств, формированию познавательного интереса. Дидактические игры стимулируют общение между преподавателем и учащимися и между отдельными учащимися, поскольку в процессе проведения этих игр взаимоотношения между людьми начинают носить более непринуждённый характер. </w:t>
      </w:r>
      <w:r w:rsidR="00586532">
        <w:rPr>
          <w:b w:val="0"/>
          <w:color w:val="000000" w:themeColor="text1"/>
          <w:sz w:val="22"/>
          <w:szCs w:val="22"/>
        </w:rPr>
        <w:t>«Двойственная природа»</w:t>
      </w:r>
      <w:r w:rsidR="00E25AF9" w:rsidRPr="00DE485A">
        <w:rPr>
          <w:b w:val="0"/>
          <w:color w:val="000000" w:themeColor="text1"/>
          <w:sz w:val="22"/>
          <w:szCs w:val="22"/>
        </w:rPr>
        <w:t xml:space="preserve"> игры – учебная направленность и игровая форма</w:t>
      </w:r>
      <w:r w:rsidR="00163C03">
        <w:rPr>
          <w:b w:val="0"/>
          <w:color w:val="000000" w:themeColor="text1"/>
          <w:sz w:val="22"/>
          <w:szCs w:val="22"/>
        </w:rPr>
        <w:t xml:space="preserve"> </w:t>
      </w:r>
      <w:r w:rsidR="00E25AF9" w:rsidRPr="00DE485A">
        <w:rPr>
          <w:b w:val="0"/>
          <w:color w:val="000000" w:themeColor="text1"/>
          <w:sz w:val="22"/>
          <w:szCs w:val="22"/>
        </w:rPr>
        <w:t>– позволяет стимулировать овладение в непринуждённой форме конкретным учебным материалом.</w:t>
      </w:r>
    </w:p>
    <w:p w:rsidR="00DE485A" w:rsidRPr="00DE485A" w:rsidRDefault="00DE485A" w:rsidP="00DE4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E485A">
        <w:rPr>
          <w:rFonts w:ascii="Times New Roman" w:hAnsi="Times New Roman" w:cs="Times New Roman"/>
        </w:rPr>
        <w:t xml:space="preserve">Одной из </w:t>
      </w:r>
      <w:r w:rsidR="00163C03">
        <w:rPr>
          <w:rFonts w:ascii="Times New Roman" w:hAnsi="Times New Roman" w:cs="Times New Roman"/>
        </w:rPr>
        <w:t xml:space="preserve">разновидностей дидактических игр </w:t>
      </w:r>
      <w:r w:rsidRPr="00DE485A">
        <w:rPr>
          <w:rFonts w:ascii="Times New Roman" w:hAnsi="Times New Roman" w:cs="Times New Roman"/>
        </w:rPr>
        <w:t xml:space="preserve">являются математические игры. </w:t>
      </w:r>
      <w:r w:rsidR="00163C03">
        <w:rPr>
          <w:rFonts w:ascii="Times New Roman" w:hAnsi="Times New Roman" w:cs="Times New Roman"/>
        </w:rPr>
        <w:t>В математическую</w:t>
      </w:r>
      <w:r w:rsidRPr="00DE485A">
        <w:rPr>
          <w:rFonts w:ascii="Times New Roman" w:hAnsi="Times New Roman" w:cs="Times New Roman"/>
        </w:rPr>
        <w:t xml:space="preserve"> игру играют два человека. Ос</w:t>
      </w:r>
      <w:r w:rsidR="00163C03">
        <w:rPr>
          <w:rFonts w:ascii="Times New Roman" w:hAnsi="Times New Roman" w:cs="Times New Roman"/>
        </w:rPr>
        <w:t>новная особенность таких</w:t>
      </w:r>
      <w:r w:rsidRPr="00DE485A">
        <w:rPr>
          <w:rFonts w:ascii="Times New Roman" w:hAnsi="Times New Roman" w:cs="Times New Roman"/>
        </w:rPr>
        <w:t xml:space="preserve"> игр, в отличие, например от шахмат, заключается в том, что один из игроков, либо начинающий, либо второй обладает выигрышной стратегией. Это означает, что если он будет применять выигрышную стратегию, то наверняка выиграет, не оставив шансов другому игроку. В процессе игры главной задачей для учащихся является обнаружение выигрышной стратегии. Приведем пример математической игры.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3"/>
      </w:tblGrid>
      <w:tr w:rsidR="00DE485A" w:rsidRPr="00DE485A" w:rsidTr="00334F07">
        <w:tc>
          <w:tcPr>
            <w:tcW w:w="5508" w:type="dxa"/>
          </w:tcPr>
          <w:p w:rsidR="00DE485A" w:rsidRPr="00DE485A" w:rsidRDefault="00DE485A" w:rsidP="00DE485A">
            <w:pPr>
              <w:jc w:val="both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both"/>
              <w:rPr>
                <w:b/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both"/>
              <w:rPr>
                <w:sz w:val="22"/>
                <w:szCs w:val="22"/>
              </w:rPr>
            </w:pPr>
            <w:r w:rsidRPr="00DE485A">
              <w:rPr>
                <w:b/>
                <w:sz w:val="22"/>
                <w:szCs w:val="22"/>
              </w:rPr>
              <w:t>Игра</w:t>
            </w:r>
            <w:r w:rsidR="00163C03">
              <w:rPr>
                <w:b/>
                <w:sz w:val="22"/>
                <w:szCs w:val="22"/>
              </w:rPr>
              <w:t xml:space="preserve">. </w:t>
            </w:r>
            <w:r w:rsidRPr="00DE485A">
              <w:rPr>
                <w:sz w:val="22"/>
                <w:szCs w:val="22"/>
              </w:rPr>
              <w:t>Имеется ромашка с 8 лепестками (рис. 1). За один ход можно оторвать либо один лепесток, либо два рядом растущих лепестка. Побеждает сорвавший последний лепесток. Кто выиграет при правильной игре?</w:t>
            </w:r>
          </w:p>
        </w:tc>
        <w:tc>
          <w:tcPr>
            <w:tcW w:w="3963" w:type="dxa"/>
          </w:tcPr>
          <w:p w:rsidR="00DE485A" w:rsidRPr="00DE485A" w:rsidRDefault="00DE485A" w:rsidP="00DE485A">
            <w:pPr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3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1.75pt" o:ole="">
                  <v:imagedata r:id="rId4" o:title=""/>
                </v:shape>
                <o:OLEObject Type="Embed" ProgID="PBrush" ShapeID="_x0000_i1025" DrawAspect="Content" ObjectID="_1490003492" r:id="rId5"/>
              </w:object>
            </w:r>
            <w:r w:rsidRPr="00DE485A">
              <w:rPr>
                <w:noProof/>
              </w:rPr>
              <w:drawing>
                <wp:inline distT="0" distB="0" distL="0" distR="0">
                  <wp:extent cx="1095375" cy="11049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85A" w:rsidRPr="00DE485A" w:rsidRDefault="00DE485A" w:rsidP="00DE485A">
            <w:pPr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 xml:space="preserve">         рис. 1                     рис. 2</w:t>
            </w:r>
          </w:p>
          <w:p w:rsidR="00DE485A" w:rsidRPr="00DE485A" w:rsidRDefault="00DE485A" w:rsidP="00DE485A">
            <w:pPr>
              <w:jc w:val="both"/>
              <w:rPr>
                <w:sz w:val="22"/>
                <w:szCs w:val="22"/>
              </w:rPr>
            </w:pPr>
          </w:p>
        </w:tc>
      </w:tr>
    </w:tbl>
    <w:p w:rsidR="00DE485A" w:rsidRPr="00DE485A" w:rsidRDefault="00DE485A" w:rsidP="00163C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 xml:space="preserve">В данном случае при правильной игре выиграет второй игрок. Для выигрыша ему нужно применить симметричную стратегию. Лепестки ромашки можно разделить на пары </w:t>
      </w:r>
      <w:proofErr w:type="gramStart"/>
      <w:r w:rsidRPr="00DE485A">
        <w:rPr>
          <w:rFonts w:ascii="Times New Roman" w:hAnsi="Times New Roman" w:cs="Times New Roman"/>
        </w:rPr>
        <w:t>симметричных</w:t>
      </w:r>
      <w:proofErr w:type="gramEnd"/>
      <w:r w:rsidRPr="00DE485A">
        <w:rPr>
          <w:rFonts w:ascii="Times New Roman" w:hAnsi="Times New Roman" w:cs="Times New Roman"/>
        </w:rPr>
        <w:t xml:space="preserve"> относительно центра ромашки (рис. 2, на рисунке они обозначены одинаковыми номерами). </w:t>
      </w:r>
    </w:p>
    <w:p w:rsidR="00DE485A" w:rsidRPr="00DE485A" w:rsidRDefault="00DE485A" w:rsidP="00163C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 xml:space="preserve">      После каждого хода первого игрока второй игрок должен отрывать лепестки, симметричные лепесткам первого игрока. Например, если первый игрок оторвал 3 и 4 лепестки (рис. 3), то второй отрывает симметричные лепестки, т.е. лепестки с номерами 3 и 4 (рис. 4). Если потом первый игрок оторвал, например, 1 лепесток (рис. 5), то и второй отрывает 1 лепесток (рис. 6). Понятно, что при такой стратегии последний ход сделает второй игрок, чем обеспечит себе победу.</w:t>
      </w:r>
    </w:p>
    <w:p w:rsidR="00DE485A" w:rsidRPr="00DE485A" w:rsidRDefault="00DE485A" w:rsidP="00DE485A">
      <w:pPr>
        <w:spacing w:line="240" w:lineRule="auto"/>
        <w:jc w:val="both"/>
        <w:rPr>
          <w:rFonts w:ascii="Times New Roman" w:hAnsi="Times New Roman" w:cs="Times New Roman"/>
        </w:rPr>
      </w:pPr>
    </w:p>
    <w:p w:rsidR="00DE485A" w:rsidRPr="00DE485A" w:rsidRDefault="00DE485A" w:rsidP="00DE485A">
      <w:pPr>
        <w:spacing w:line="240" w:lineRule="auto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4075" cy="1381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5A" w:rsidRPr="00DE485A" w:rsidRDefault="00DE485A" w:rsidP="00DE485A">
      <w:pPr>
        <w:spacing w:line="240" w:lineRule="auto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 xml:space="preserve">               рис. 3                              рис. 4                              рис. 5                           рис. 6</w:t>
      </w:r>
    </w:p>
    <w:p w:rsidR="00DE485A" w:rsidRPr="00DE485A" w:rsidRDefault="00DE485A" w:rsidP="00163C03">
      <w:pPr>
        <w:spacing w:line="240" w:lineRule="auto"/>
        <w:jc w:val="both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>При работе с математическими играми мы предлагаем учащимся разделиться на пары, каждая пара получает карточку. Рассмотрим карточку, которую мы предлагаем при игре с ромашкой.</w:t>
      </w:r>
    </w:p>
    <w:tbl>
      <w:tblPr>
        <w:tblStyle w:val="a4"/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DE485A" w:rsidRPr="00DE485A" w:rsidTr="00334F07">
        <w:trPr>
          <w:jc w:val="center"/>
        </w:trPr>
        <w:tc>
          <w:tcPr>
            <w:tcW w:w="3190" w:type="dxa"/>
          </w:tcPr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№ 1.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4 лепестка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- 1 -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575" w:dyaOrig="1680">
                <v:shape id="_x0000_i1026" type="#_x0000_t75" style="width:65.25pt;height:69pt" o:ole="">
                  <v:imagedata r:id="rId8" o:title=""/>
                </v:shape>
                <o:OLEObject Type="Embed" ProgID="PBrush" ShapeID="_x0000_i1026" DrawAspect="Content" ObjectID="_1490003493" r:id="rId9"/>
              </w:objec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- 2 -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575" w:dyaOrig="1680">
                <v:shape id="_x0000_i1027" type="#_x0000_t75" style="width:65.25pt;height:69pt" o:ole="">
                  <v:imagedata r:id="rId8" o:title=""/>
                </v:shape>
                <o:OLEObject Type="Embed" ProgID="PBrush" ShapeID="_x0000_i1027" DrawAspect="Content" ObjectID="_1490003494" r:id="rId10"/>
              </w:object>
            </w:r>
          </w:p>
        </w:tc>
        <w:tc>
          <w:tcPr>
            <w:tcW w:w="3190" w:type="dxa"/>
          </w:tcPr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№ 2.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6 лепестков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- 1 -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65" w:dyaOrig="1710">
                <v:shape id="_x0000_i1028" type="#_x0000_t75" style="width:64.5pt;height:65.25pt" o:ole="">
                  <v:imagedata r:id="rId11" o:title=""/>
                </v:shape>
                <o:OLEObject Type="Embed" ProgID="PBrush" ShapeID="_x0000_i1028" DrawAspect="Content" ObjectID="_1490003495" r:id="rId12"/>
              </w:objec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- 2 -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65" w:dyaOrig="1710">
                <v:shape id="_x0000_i1029" type="#_x0000_t75" style="width:64.5pt;height:65.25pt" o:ole="">
                  <v:imagedata r:id="rId11" o:title=""/>
                </v:shape>
                <o:OLEObject Type="Embed" ProgID="PBrush" ShapeID="_x0000_i1029" DrawAspect="Content" ObjectID="_1490003496" r:id="rId13"/>
              </w:object>
            </w:r>
          </w:p>
        </w:tc>
        <w:tc>
          <w:tcPr>
            <w:tcW w:w="3191" w:type="dxa"/>
          </w:tcPr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№ 3.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8 лепестков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- 1 -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35" w:dyaOrig="1635">
                <v:shape id="_x0000_i1030" type="#_x0000_t75" style="width:62.25pt;height:62.25pt" o:ole="">
                  <v:imagedata r:id="rId4" o:title=""/>
                </v:shape>
                <o:OLEObject Type="Embed" ProgID="PBrush" ShapeID="_x0000_i1030" DrawAspect="Content" ObjectID="_1490003497" r:id="rId14"/>
              </w:objec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sz w:val="22"/>
                <w:szCs w:val="22"/>
              </w:rPr>
              <w:t>- 2 –</w:t>
            </w: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</w:p>
          <w:p w:rsidR="00DE485A" w:rsidRPr="00DE485A" w:rsidRDefault="00DE485A" w:rsidP="00DE485A">
            <w:pPr>
              <w:jc w:val="center"/>
              <w:rPr>
                <w:sz w:val="22"/>
                <w:szCs w:val="22"/>
              </w:rPr>
            </w:pPr>
            <w:r w:rsidRPr="00DE485A">
              <w:rPr>
                <w:rFonts w:asciiTheme="minorHAnsi" w:eastAsiaTheme="minorEastAsia" w:hAnsiTheme="minorHAnsi" w:cstheme="minorBidi"/>
                <w:sz w:val="22"/>
                <w:szCs w:val="22"/>
              </w:rPr>
              <w:object w:dxaOrig="1635" w:dyaOrig="1635">
                <v:shape id="_x0000_i1031" type="#_x0000_t75" style="width:62.25pt;height:62.25pt" o:ole="">
                  <v:imagedata r:id="rId4" o:title=""/>
                </v:shape>
                <o:OLEObject Type="Embed" ProgID="PBrush" ShapeID="_x0000_i1031" DrawAspect="Content" ObjectID="_1490003498" r:id="rId15"/>
              </w:object>
            </w:r>
          </w:p>
        </w:tc>
      </w:tr>
    </w:tbl>
    <w:p w:rsidR="00163C03" w:rsidRDefault="00163C03" w:rsidP="00DE48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85A" w:rsidRPr="00DE485A" w:rsidRDefault="00DE485A" w:rsidP="00DE4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 xml:space="preserve">       По этой карточке каждая пара играет 6 раз. Сначала дважды играют в ромашку с 4 лепестками (один раз один начинающий, другой раз – другой). Потом</w:t>
      </w:r>
      <w:r w:rsidR="00163C03">
        <w:rPr>
          <w:rFonts w:ascii="Times New Roman" w:hAnsi="Times New Roman" w:cs="Times New Roman"/>
        </w:rPr>
        <w:t xml:space="preserve"> –  то же самое</w:t>
      </w:r>
      <w:r w:rsidRPr="00DE485A">
        <w:rPr>
          <w:rFonts w:ascii="Times New Roman" w:hAnsi="Times New Roman" w:cs="Times New Roman"/>
        </w:rPr>
        <w:t xml:space="preserve"> с 6 и 8 лепестками. Это позволяет детям «нащупать» выигрышную стратегию. </w:t>
      </w:r>
    </w:p>
    <w:p w:rsidR="00DE485A" w:rsidRPr="00DE485A" w:rsidRDefault="00DE485A" w:rsidP="00DE4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485A">
        <w:rPr>
          <w:rFonts w:ascii="Times New Roman" w:hAnsi="Times New Roman" w:cs="Times New Roman"/>
        </w:rPr>
        <w:t xml:space="preserve">        Если учащимся не удалось самостоятельно обнаружить выигрышную стратегию, то они это делают с помощью учителя. Учитель может начать играть на доске с кем-то из учащихся, применяя выигрышную стратегию, но, не объясняя, в чем она заключается.  При этом необходимо дать задание детям понять закономерность в действиях учителя и сформулировать вы</w:t>
      </w:r>
      <w:r w:rsidR="00163C03">
        <w:rPr>
          <w:rFonts w:ascii="Times New Roman" w:hAnsi="Times New Roman" w:cs="Times New Roman"/>
        </w:rPr>
        <w:t>игрышную стратегию. Детям обычно</w:t>
      </w:r>
      <w:r w:rsidRPr="00DE485A">
        <w:rPr>
          <w:rFonts w:ascii="Times New Roman" w:hAnsi="Times New Roman" w:cs="Times New Roman"/>
        </w:rPr>
        <w:t xml:space="preserve"> удается справиться с этим заданием.</w:t>
      </w:r>
    </w:p>
    <w:p w:rsidR="008717F4" w:rsidRPr="00EE3D46" w:rsidRDefault="00586532" w:rsidP="00DE4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Математические игры  не только развивают мышление учащихся, но и являются ценным средством пропедевтики различных мат</w:t>
      </w:r>
      <w:r w:rsidR="00B2491F">
        <w:rPr>
          <w:rFonts w:ascii="Times New Roman" w:eastAsia="Times New Roman" w:hAnsi="Times New Roman" w:cs="Times New Roman"/>
          <w:color w:val="000000" w:themeColor="text1"/>
        </w:rPr>
        <w:t>ематических понятий.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Например, описанная игра в ромашку является средством пропедевтики понятия «центральная симметрия»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Такие игры можно предлагать учащимся уже в начальной </w:t>
      </w:r>
      <w:r w:rsidR="00B2491F">
        <w:rPr>
          <w:rFonts w:ascii="Times New Roman" w:eastAsia="Times New Roman" w:hAnsi="Times New Roman" w:cs="Times New Roman"/>
          <w:color w:val="000000" w:themeColor="text1"/>
        </w:rPr>
        <w:t>школе, не вводя при этом строгих определений (определения будут введены в основной школе, а пока дети овладевают понятиями на интуитивном уровне)</w:t>
      </w:r>
      <w:proofErr w:type="gramStart"/>
      <w:r w:rsidR="00B2491F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00B2491F">
        <w:rPr>
          <w:rFonts w:ascii="Times New Roman" w:eastAsia="Times New Roman" w:hAnsi="Times New Roman" w:cs="Times New Roman"/>
          <w:color w:val="000000" w:themeColor="text1"/>
        </w:rPr>
        <w:t xml:space="preserve"> Такие игры целесообразно предлагать детям на уроках, на кружках во внеурочное время и на занятиях летнего городского лагеря. </w:t>
      </w:r>
    </w:p>
    <w:sectPr w:rsidR="008717F4" w:rsidRPr="00EE3D46" w:rsidSect="0040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E39"/>
    <w:rsid w:val="00083DE5"/>
    <w:rsid w:val="00163C03"/>
    <w:rsid w:val="00250FD2"/>
    <w:rsid w:val="00341F7F"/>
    <w:rsid w:val="0040155B"/>
    <w:rsid w:val="004D2E39"/>
    <w:rsid w:val="00547162"/>
    <w:rsid w:val="00586532"/>
    <w:rsid w:val="005E45D4"/>
    <w:rsid w:val="006731C3"/>
    <w:rsid w:val="006E6E66"/>
    <w:rsid w:val="008717F4"/>
    <w:rsid w:val="009A02B0"/>
    <w:rsid w:val="00AD25A5"/>
    <w:rsid w:val="00B2491F"/>
    <w:rsid w:val="00B90362"/>
    <w:rsid w:val="00DE485A"/>
    <w:rsid w:val="00E25AF9"/>
    <w:rsid w:val="00EE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B"/>
  </w:style>
  <w:style w:type="paragraph" w:styleId="1">
    <w:name w:val="heading 1"/>
    <w:basedOn w:val="a"/>
    <w:link w:val="10"/>
    <w:uiPriority w:val="9"/>
    <w:qFormat/>
    <w:rsid w:val="004D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2E39"/>
  </w:style>
  <w:style w:type="character" w:customStyle="1" w:styleId="10">
    <w:name w:val="Заголовок 1 Знак"/>
    <w:basedOn w:val="a0"/>
    <w:link w:val="1"/>
    <w:uiPriority w:val="9"/>
    <w:rsid w:val="004D2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rsid w:val="00DE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2015-04-08T09:04:00Z</cp:lastPrinted>
  <dcterms:created xsi:type="dcterms:W3CDTF">2015-03-31T10:21:00Z</dcterms:created>
  <dcterms:modified xsi:type="dcterms:W3CDTF">2015-04-08T09:05:00Z</dcterms:modified>
</cp:coreProperties>
</file>