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C28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C28">
        <w:rPr>
          <w:rFonts w:ascii="Times New Roman" w:hAnsi="Times New Roman"/>
          <w:sz w:val="24"/>
          <w:szCs w:val="24"/>
        </w:rPr>
        <w:t>городского округа Балашиха</w:t>
      </w:r>
    </w:p>
    <w:p w:rsidR="00195C28" w:rsidRPr="00195C28" w:rsidRDefault="00195C28" w:rsidP="00195C28">
      <w:pPr>
        <w:tabs>
          <w:tab w:val="center" w:pos="4749"/>
          <w:tab w:val="right" w:pos="9498"/>
        </w:tabs>
        <w:autoSpaceDN w:val="0"/>
        <w:spacing w:after="0" w:line="240" w:lineRule="auto"/>
        <w:rPr>
          <w:rFonts w:ascii="Arial" w:eastAsia="Lucida Sans Unicode" w:hAnsi="Arial" w:cs="Tahoma"/>
          <w:kern w:val="3"/>
          <w:sz w:val="21"/>
          <w:szCs w:val="24"/>
        </w:rPr>
      </w:pPr>
      <w:r w:rsidRPr="00195C28">
        <w:rPr>
          <w:rFonts w:ascii="Times New Roman" w:hAnsi="Times New Roman"/>
          <w:i/>
          <w:sz w:val="28"/>
          <w:szCs w:val="28"/>
        </w:rPr>
        <w:tab/>
      </w:r>
      <w:r w:rsidRPr="00195C28">
        <w:rPr>
          <w:rFonts w:ascii="Times New Roman" w:hAnsi="Times New Roman"/>
          <w:sz w:val="24"/>
          <w:szCs w:val="24"/>
        </w:rPr>
        <w:t>«Детский сад комбинированного  вида № 42 «Лукоморье»</w:t>
      </w:r>
    </w:p>
    <w:p w:rsidR="00195C28" w:rsidRPr="00195C28" w:rsidRDefault="00195C28" w:rsidP="00195C28">
      <w:pPr>
        <w:tabs>
          <w:tab w:val="center" w:pos="4749"/>
          <w:tab w:val="right" w:pos="9498"/>
        </w:tabs>
        <w:autoSpaceDN w:val="0"/>
        <w:spacing w:after="0" w:line="240" w:lineRule="auto"/>
        <w:rPr>
          <w:rFonts w:ascii="Arial" w:eastAsia="Lucida Sans Unicode" w:hAnsi="Arial" w:cs="Tahoma"/>
          <w:kern w:val="3"/>
          <w:sz w:val="21"/>
          <w:szCs w:val="24"/>
        </w:rPr>
      </w:pPr>
      <w:r w:rsidRPr="00195C28">
        <w:rPr>
          <w:rFonts w:ascii="Times New Roman" w:hAnsi="Times New Roman"/>
          <w:i/>
          <w:sz w:val="28"/>
          <w:szCs w:val="28"/>
        </w:rPr>
        <w:tab/>
      </w: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C28">
        <w:rPr>
          <w:rFonts w:ascii="Times New Roman" w:hAnsi="Times New Roman"/>
          <w:b/>
          <w:sz w:val="28"/>
          <w:szCs w:val="28"/>
        </w:rPr>
        <w:t xml:space="preserve"> </w:t>
      </w: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  <w:r w:rsidRPr="00195C28">
        <w:rPr>
          <w:rFonts w:ascii="Times New Roman" w:hAnsi="Times New Roman"/>
          <w:b/>
          <w:sz w:val="36"/>
          <w:szCs w:val="36"/>
        </w:rPr>
        <w:t xml:space="preserve">Использование </w:t>
      </w:r>
      <w:proofErr w:type="gramStart"/>
      <w:r w:rsidRPr="00195C28">
        <w:rPr>
          <w:rFonts w:ascii="Times New Roman" w:hAnsi="Times New Roman"/>
          <w:b/>
          <w:sz w:val="36"/>
          <w:szCs w:val="36"/>
        </w:rPr>
        <w:t>настольно-печатной</w:t>
      </w:r>
      <w:proofErr w:type="gramEnd"/>
    </w:p>
    <w:p w:rsidR="00195C28" w:rsidRPr="00195C28" w:rsidRDefault="00195C28" w:rsidP="00195C28"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  <w:r w:rsidRPr="00195C28">
        <w:rPr>
          <w:rFonts w:ascii="Times New Roman" w:hAnsi="Times New Roman"/>
          <w:b/>
          <w:sz w:val="36"/>
          <w:szCs w:val="36"/>
        </w:rPr>
        <w:t>дидактической игры в работе</w:t>
      </w:r>
    </w:p>
    <w:p w:rsidR="00195C28" w:rsidRPr="00195C28" w:rsidRDefault="00195C28" w:rsidP="00195C28">
      <w:pPr>
        <w:spacing w:line="240" w:lineRule="exact"/>
        <w:jc w:val="center"/>
        <w:rPr>
          <w:rFonts w:ascii="Times New Roman" w:hAnsi="Times New Roman"/>
          <w:b/>
          <w:sz w:val="36"/>
          <w:szCs w:val="36"/>
        </w:rPr>
      </w:pPr>
      <w:r w:rsidRPr="00195C28">
        <w:rPr>
          <w:rFonts w:ascii="Times New Roman" w:hAnsi="Times New Roman"/>
          <w:b/>
          <w:sz w:val="36"/>
          <w:szCs w:val="36"/>
        </w:rPr>
        <w:t>с детьми старшего дошкольного возраста.</w:t>
      </w: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195C28">
        <w:rPr>
          <w:rFonts w:ascii="Times New Roman" w:hAnsi="Times New Roman"/>
          <w:sz w:val="28"/>
          <w:szCs w:val="28"/>
        </w:rPr>
        <w:t xml:space="preserve">     Подготовила:</w:t>
      </w:r>
    </w:p>
    <w:p w:rsidR="00195C28" w:rsidRPr="00195C28" w:rsidRDefault="00195C28" w:rsidP="00195C28">
      <w:pPr>
        <w:autoSpaceDN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195C28">
        <w:rPr>
          <w:rFonts w:ascii="Times New Roman" w:hAnsi="Times New Roman"/>
          <w:sz w:val="28"/>
          <w:szCs w:val="28"/>
        </w:rPr>
        <w:t xml:space="preserve">     воспитатель Кудина Т.А.  </w:t>
      </w:r>
    </w:p>
    <w:p w:rsidR="00195C28" w:rsidRPr="00195C28" w:rsidRDefault="00195C28" w:rsidP="00195C28">
      <w:pPr>
        <w:autoSpaceDN w:val="0"/>
        <w:spacing w:after="0" w:line="240" w:lineRule="auto"/>
        <w:ind w:firstLine="6237"/>
        <w:jc w:val="both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ind w:firstLine="6237"/>
        <w:jc w:val="both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ind w:firstLine="6237"/>
        <w:jc w:val="both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95C28" w:rsidRPr="00195C28" w:rsidRDefault="00195C28" w:rsidP="00195C28">
      <w:pPr>
        <w:autoSpaceDN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95C28">
        <w:rPr>
          <w:rFonts w:ascii="Times New Roman" w:hAnsi="Times New Roman"/>
          <w:sz w:val="32"/>
          <w:szCs w:val="32"/>
        </w:rPr>
        <w:t>2014 г.</w:t>
      </w:r>
    </w:p>
    <w:p w:rsidR="00195C28" w:rsidRDefault="00195C28" w:rsidP="00195C28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</w:p>
    <w:p w:rsidR="00195C28" w:rsidRDefault="00195C28" w:rsidP="00195C28">
      <w:pPr>
        <w:spacing w:before="100" w:beforeAutospacing="1" w:after="100" w:afterAutospacing="1" w:line="360" w:lineRule="auto"/>
        <w:jc w:val="both"/>
        <w:rPr>
          <w:rStyle w:val="FontStyle23"/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 старшего дошкольного возраста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FontStyle23"/>
          <w:sz w:val="28"/>
          <w:szCs w:val="28"/>
        </w:rPr>
        <w:t>в основном используются настольно-печатные и словесные дидактические игры.</w:t>
      </w:r>
    </w:p>
    <w:p w:rsidR="00195C28" w:rsidRDefault="00195C28" w:rsidP="00195C28">
      <w:pPr>
        <w:spacing w:line="360" w:lineRule="auto"/>
        <w:jc w:val="both"/>
      </w:pPr>
      <w:r>
        <w:rPr>
          <w:rStyle w:val="FontStyle23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Настольно-печатные игры основаны на принципе наглядности, но в этих играх детям дается не сам предмет, а его изображение. Содержание настольных игр разнообразно.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Настольно-печатные игры - интересное занятие для детей. Они разнообразны по видам: парные картинки, лото, домино. Различны и развивающие задачи, которые решаются при их использовании. </w:t>
      </w:r>
    </w:p>
    <w:p w:rsidR="00195C28" w:rsidRDefault="00195C28" w:rsidP="00195C2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Разнообразные настольно-печатные игры относятся в педагогике к дидактическим (развивающим) играм, основная цель которых – научиться решать предлагаемые в игре развивающие задачи через выполнение игровых действий. Рассматривая настольные игры в культурно-историческом аспекте, ученые отмечают их давнее возникновение и подчеркивают основное влияние настольных игр на развитие интеллектуальных способностей и формирование личности ребенка в старшем дошкольном возрасте. На развитие личностных качеств в этих играх влияет самостоятельный выбор игры и инициативность в приглашении партнера (или возможна игра за партнера самого ребенка), осознанное подчинение правилам, что в свою очередь приводит к развитию произвольности и коррекции импульсивного поведения в ходе решения игровой задачи.                                      Несомненным достоинством разнообразных настольных игр является возможность их использования в паре, малой (2-3 ребенка) или большой группе детей (5-8 человек), если в доме, например, отмечают детский праздник. В настольно-печатных играх развиваются навыки взаимодействия с другими детьми и взрослыми, умение терпеливо ждать своей очереди, сопереживать партнерам по игре.</w:t>
      </w:r>
    </w:p>
    <w:p w:rsidR="00195C28" w:rsidRDefault="00195C28" w:rsidP="00195C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В работе с детьми старшего дошкольного возраста используются разнообразные настольно-печатные игры:</w:t>
      </w:r>
    </w:p>
    <w:p w:rsidR="00195C28" w:rsidRDefault="00195C28" w:rsidP="00195C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выделение части и целого.</w:t>
      </w:r>
    </w:p>
    <w:p w:rsidR="00195C28" w:rsidRDefault="00195C28" w:rsidP="00195C2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на развитие логического мышления включают:</w:t>
      </w:r>
    </w:p>
    <w:p w:rsidR="00195C28" w:rsidRDefault="00195C28" w:rsidP="00195C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Игры на классификацию;</w:t>
      </w:r>
    </w:p>
    <w:p w:rsidR="00195C28" w:rsidRDefault="00195C28" w:rsidP="00195C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Игры на </w:t>
      </w:r>
      <w:proofErr w:type="spellStart"/>
      <w:r>
        <w:rPr>
          <w:rFonts w:ascii="Times New Roman" w:hAnsi="Times New Roman"/>
          <w:sz w:val="28"/>
          <w:szCs w:val="28"/>
        </w:rPr>
        <w:t>сериацию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95C28" w:rsidRDefault="00195C28" w:rsidP="00195C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Игры, развивающие образное мышление.</w:t>
      </w:r>
    </w:p>
    <w:p w:rsidR="00195C28" w:rsidRDefault="00195C28" w:rsidP="00195C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4.Игры, направленные на формирование умения ориентироваться в пространстве</w:t>
      </w:r>
      <w:r>
        <w:rPr>
          <w:rFonts w:ascii="Times New Roman" w:hAnsi="Times New Roman"/>
        </w:rPr>
        <w:t>.</w:t>
      </w:r>
    </w:p>
    <w:p w:rsidR="00195C28" w:rsidRDefault="00195C28" w:rsidP="00195C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Игры, способствующие усвоению знаков и символов, названий.</w:t>
      </w:r>
    </w:p>
    <w:p w:rsidR="00195C28" w:rsidRDefault="00195C28" w:rsidP="00195C2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Игры на выделение части и целого.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 двух лет разрезные картинки содержат только две части, которые составляют целостный образ предметов и могут быть разделены по горизонтали, вертикали, диагонали: матрешку, мячик, машину, дом, окошки. Разрезные картинки легко изготовить самим. В настоящее время выпускается огромное количество подобных игр с рамками пояснить про рамки, позволяющими самостоятельно упражняться и исправлять ошибки, неизбежно возникающие на начальном этапе освоения игры. По мере развития ребенка увеличивается количество частей, из которых следует собрать изображение: 6-9 частей для детей пятого года жизни; 12-24 части - к шести годам; усложняются различные способы деления на части. Для некоторых детей трудно собрать картинку, так как изображение раздроблено на отдельные составляющие и части расположены на определенных сторонах всех кубиков. Важно различить общий фон картинки и иметь образец целого предмета на картинке. Перед складыванием изображения из кубиков можно предложить собрать картинку по образцу, части которой расположены на двух сторонах утолщенной пластины. </w:t>
      </w:r>
      <w:proofErr w:type="gramStart"/>
      <w:r>
        <w:rPr>
          <w:rFonts w:ascii="Times New Roman" w:hAnsi="Times New Roman"/>
          <w:sz w:val="28"/>
          <w:szCs w:val="28"/>
        </w:rPr>
        <w:t>Кубики, имеющие части составляемой картинки на всех сторонах, предлагаются от 4 в двухлетнем возрасте до 24 - в шестилетнем.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предложить ребенку закрыть часть рисунка рукой, </w:t>
      </w:r>
      <w:r>
        <w:rPr>
          <w:rFonts w:ascii="Times New Roman" w:hAnsi="Times New Roman"/>
          <w:sz w:val="28"/>
          <w:szCs w:val="28"/>
        </w:rPr>
        <w:lastRenderedPageBreak/>
        <w:t>листом бумаги, выкладывая другую часть изображения, постепенно открывая картинку до полного составления образца. Интересу к складыванию картинки способствует сюжетное содержание изображения – это сказочные персонажи детских книг, сценки из любимых мультфильмов, пейзажи, включающие животных и их детенышей, образцы архитектуры, живописи. Другими, более сложными, но очень полезными играми на соотнесение части и целого являются игры-головоломки «Магический квадрат», «</w:t>
      </w:r>
      <w:proofErr w:type="spellStart"/>
      <w:r>
        <w:rPr>
          <w:rFonts w:ascii="Times New Roman" w:hAnsi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/>
          <w:sz w:val="28"/>
          <w:szCs w:val="28"/>
        </w:rPr>
        <w:t xml:space="preserve"> яйцо», «Монгольская игра». Каждая из предлагаемых игр содержит части различной формы, из которых можно создать разнообразные изображения, что очень полезно для развития образного мышления и воображения. Возрастной диапазон таких игр достаточно велик, и часто без помощи взрослого построить изображение бывает сложно, трудность представляет игра, где элементы окрашены одинаково с двух сторон и для правильного решения игровой задачи следует перевернуть некоторые части. 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Игры на развитие логического мышления включают: игры на классификацию и на </w:t>
      </w:r>
      <w:proofErr w:type="spellStart"/>
      <w:r>
        <w:rPr>
          <w:rFonts w:ascii="Times New Roman" w:hAnsi="Times New Roman"/>
          <w:sz w:val="28"/>
          <w:szCs w:val="28"/>
        </w:rPr>
        <w:t>сериацию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Игры на классификацию.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Дети достаточно рано начинают анализировать объекты и выделять их свойства, такие, как цвет, форму, величину, пространственное расположение. Этому способствуют игры, предлагаемые уже на третьем году жизни. Для усвоения основных цветов существуют игры « Шапка, варежки и шарф» (собрать куклу на прогулку), «Разноцветные окошки» (подбираются ставни к окнам в домиках соответствующего цвета). После четырех лет, когда знания основных цветов обогащаются оттенками, закрепляется их различение и называние, можно предложить лото «Разложи по цвету», «Радуга», «Краски». Имеются разнообразные вкладыши с удобным способом удержания и </w:t>
      </w:r>
      <w:proofErr w:type="gramStart"/>
      <w:r>
        <w:rPr>
          <w:rFonts w:ascii="Times New Roman" w:hAnsi="Times New Roman"/>
          <w:sz w:val="28"/>
          <w:szCs w:val="28"/>
        </w:rPr>
        <w:t>вкладывания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деталей «Что </w:t>
      </w:r>
      <w:proofErr w:type="gramStart"/>
      <w:r>
        <w:rPr>
          <w:rFonts w:ascii="Times New Roman" w:hAnsi="Times New Roman"/>
          <w:sz w:val="28"/>
          <w:szCs w:val="28"/>
        </w:rPr>
        <w:t>какого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цвета?», «Подбери по форме», «Большие и </w:t>
      </w:r>
      <w:r>
        <w:rPr>
          <w:rFonts w:ascii="Times New Roman" w:hAnsi="Times New Roman"/>
          <w:sz w:val="28"/>
          <w:szCs w:val="28"/>
        </w:rPr>
        <w:lastRenderedPageBreak/>
        <w:t xml:space="preserve">маленькие». Важно, что ребенок может сам проверить правильность усвоения и выполнения инструкции (при ошибке деталь не совпадает с прорезью). Не следует спешить, помогая малышу освоить способ вкладывания изображения, а дать возможность попытаться ребенку самому решить игровую задачу. Родителям следует объяснить, в чем она заключается, оказывая эмоциональную поддержку, и словесно помогать в случае неуспеха, подсказывая, а при необходимости и показывая правильные действия. Усложнение игры может заключаться в частичном совпадении с образцом – зрительная опора позволит выбрать подходящие карточки для игры «Что может быть круглым?», «Что может быть красным?». В играх на классификацию можно добавить новое, не заложенное в правилах основание для подбора, например: что может быть круглым и съедобным? Легко ориентироваться на один признак, на два - сложнее, но попробуйте на три, например: что может быть маленьким, овальным, зеленым? Для детей пяти-шести лет полезно поиграть в «Волшебную машину», пропускающую в поездку, например, все мягкое и квадратное - подумать и отобрать из предложенного иллюстративного материала все подходящее: подушку, платок, кусочек хлеба, ковер. Если в семье разновозрастные дети, игра увлечет всех. Часто в играх требуется умение выделять форму в предмете, собирая затем из знакомых форм образ, единую композицию. Такие игры могут содержать магниты, которые позволяют легко крепить детали к поверхности полотна, быстро собирать после окончания игры, создавать варианты сочетания форм, их взаимного пространственного расположения, цветового решения, играть на горизонтальных и вертикальных плоскостях. Игра «Четвертый лишний» способствует развитию мышления, умению выделить основание, по которому из всех предметов на картине один не подходит, например, изображены люди и игрушка – кукла, объяснение ребенка может быть таким: «здесь все люди живые, а кукла – нет, она игрушечная». Интерес для детей пяти – шести лет представляет игра «Логический поезд», в которой всем участникам поровну раздаются карточки </w:t>
      </w:r>
      <w:r>
        <w:rPr>
          <w:rFonts w:ascii="Times New Roman" w:hAnsi="Times New Roman"/>
          <w:sz w:val="28"/>
          <w:szCs w:val="28"/>
        </w:rPr>
        <w:lastRenderedPageBreak/>
        <w:t xml:space="preserve">с различными изображениями. </w:t>
      </w:r>
      <w:proofErr w:type="gramStart"/>
      <w:r>
        <w:rPr>
          <w:rFonts w:ascii="Times New Roman" w:hAnsi="Times New Roman"/>
          <w:sz w:val="28"/>
          <w:szCs w:val="28"/>
        </w:rPr>
        <w:t>По считалке первый кладет свою карточку, например – машину, следующий должен выбрать из имеющихся у себя подходящую и объяснить, в чем заключается соответствие (ребенок может положить любое другое средство транспорта или металлический предмет, мотивируя свой выбор материалом изготовления).</w:t>
      </w:r>
      <w:proofErr w:type="gramEnd"/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Игры на </w:t>
      </w:r>
      <w:proofErr w:type="spellStart"/>
      <w:r>
        <w:rPr>
          <w:rFonts w:ascii="Times New Roman" w:hAnsi="Times New Roman"/>
          <w:i/>
          <w:sz w:val="28"/>
          <w:szCs w:val="28"/>
        </w:rPr>
        <w:t>сериацию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Детям в возрасте пяти-шести лет подойдут лото «Веселый клоун», использующее картинки с изображениями человеческих чувств и их мимических проявлений (веселье, грусть, удовольствие); различение животных по способу и скорости передвижения «Самый быстрый»; сравнение по весу различных тел «Самый тяжелый» - во всех подобных играх признак задан, играющие только раскладывают в определенном порядке свои карточки.</w:t>
      </w:r>
      <w:proofErr w:type="gramEnd"/>
      <w:r>
        <w:rPr>
          <w:rFonts w:ascii="Times New Roman" w:hAnsi="Times New Roman"/>
          <w:sz w:val="28"/>
          <w:szCs w:val="28"/>
        </w:rPr>
        <w:t xml:space="preserve"> Но не следует увлекаться лишь верным выбором карточек, не менее важно услышать объяснение ребенком своего выбора. Освоению </w:t>
      </w:r>
      <w:proofErr w:type="spellStart"/>
      <w:r>
        <w:rPr>
          <w:rFonts w:ascii="Times New Roman" w:hAnsi="Times New Roman"/>
          <w:sz w:val="28"/>
          <w:szCs w:val="28"/>
        </w:rPr>
        <w:t>сериации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образной форме способствует проигрывание сказок настольного плоскостного театра «Репка», «Колобок», где персонажи выстраиваются согласно сюжету в определенной последовательности друг за другом.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Игры, развивающие образное мышление.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Развитию образного мышления способствует проигрывание сказочных сюжетов, создание настольного зоопарка, фермы, постройка и обыгрывание детской площадки. Наборы для этих игр существуют в различных вариантах: картонном, деревянном, пластиковом, которые дети охотно дополняют деталями собственного изготовления, проявляя инициативность и самостоятельность в работе, которые так необходимы при подготовке к школьному обучению. Игры домино предлагают определенную тематическую направленность: транспорт, животные, овощи и фрукты, сказочные герои или карточки с точками по количеству от «пусто» до шести. </w:t>
      </w:r>
      <w:r>
        <w:rPr>
          <w:rFonts w:ascii="Times New Roman" w:hAnsi="Times New Roman"/>
          <w:sz w:val="28"/>
          <w:szCs w:val="28"/>
        </w:rPr>
        <w:lastRenderedPageBreak/>
        <w:t>Задача игроков: фиксировать внимание сразу на двух концах ленты домино, удерживать задачу выбора подходящей карточки из своего набора, не показывая его остальным игрокам и не подглядывая к ним.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Игры, направленные на формирование умения ориентироваться в пространстве.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период подготовки к школе такая задача становится актуальной, ведь от детей требуется быстро сориентироваться в книге или тетради, найти середину листа, верх и низ, не путать правую и левую стороны, отступить определенное количество клеток с той или иной стороны, не заходить за линию при письме, правильно держать карандаш. Ориентироваться в пространстве листа или клетках поможет игра-путешествие или графический диктант. </w:t>
      </w:r>
      <w:proofErr w:type="gramStart"/>
      <w:r>
        <w:rPr>
          <w:rFonts w:ascii="Times New Roman" w:hAnsi="Times New Roman"/>
          <w:sz w:val="28"/>
          <w:szCs w:val="28"/>
        </w:rPr>
        <w:t>Игровое поле представляет собой клетчатое основание, на котором будет находиться маленькая фигурка, например, Буратино, который хочет узнать, где спрятан золотой ключик, двигаясь по указанию ведущего: две клеточки (шага) вверх, одна направо, две клеточки (шага) вниз, одна направо.</w:t>
      </w:r>
      <w:proofErr w:type="gramEnd"/>
      <w:r>
        <w:rPr>
          <w:rFonts w:ascii="Times New Roman" w:hAnsi="Times New Roman"/>
          <w:sz w:val="28"/>
          <w:szCs w:val="28"/>
        </w:rPr>
        <w:t xml:space="preserve"> Путь можно отметить карандашом, для усложнения предложить детям придумать свои маршруты и рассказать о них. Введение сюжета повышает интерес к таким играм. Маршрутные игры, лабиринты помогают овладеть умением выделять и зрительно прослеживать траекторию движения на игровом поле. С помощью кубика ребенок учится отсчитывать количество точек от любого числа, определенным движением выбрасывая кубик, прогнозировать возможное выпадение нужного количества точек на кубике для быстрого продвижения вперед. Возможность соревноваться и выиграть при равных стартовых условиях, двигаться к финишу пошагово, соблюдая очередность, и обязательные правила очень важны для развития произвольности. Умение расшифровывать знаки и символы в игре способствует развитию символического мышления. Игры «</w:t>
      </w:r>
      <w:proofErr w:type="spellStart"/>
      <w:r>
        <w:rPr>
          <w:rFonts w:ascii="Times New Roman" w:hAnsi="Times New Roman"/>
          <w:sz w:val="28"/>
          <w:szCs w:val="28"/>
        </w:rPr>
        <w:t>Бродилки</w:t>
      </w:r>
      <w:proofErr w:type="spellEnd"/>
      <w:r>
        <w:rPr>
          <w:rFonts w:ascii="Times New Roman" w:hAnsi="Times New Roman"/>
          <w:sz w:val="28"/>
          <w:szCs w:val="28"/>
        </w:rPr>
        <w:t xml:space="preserve">», «Лабиринт» предполагают использование кубика, фишек, передвижение осуществляется по игровому полю. Они имеют четко фиксированные </w:t>
      </w:r>
      <w:r>
        <w:rPr>
          <w:rFonts w:ascii="Times New Roman" w:hAnsi="Times New Roman"/>
          <w:sz w:val="28"/>
          <w:szCs w:val="28"/>
        </w:rPr>
        <w:lastRenderedPageBreak/>
        <w:t xml:space="preserve">правила, в отличие от самостоятельных игр, возникающих по инициативе самих детей. В таких играх может принимать участие вся семья. Взрослым необходимо самим ознакомиться с правилами, определить цель и ход игры, чтобы в доступной форме, по возможности более кратко донести полученные сведения до ребенка. Часто взрослые уступают ребенку, давая возможность выиграть, не совсем честно соблюдая правила. Ребенок, которому взрослые всегда уступали и позволяли выигрывать, окажется неподготовленным к возможному проигрышу, может болезненно воспринять свое поражение и отказаться от дальнейшего участия в совместных играх. Поэтому следует вначале продемонстрировать спокойное принятие проигрыша как возможного исхода игры – важно не победить любой ценой, а получить удовольствие, радость от участия в совместной игре, затем позволить проиграть и ребенку, проследив его реакцию и поддержав в нем уверенность, что в следующий раз он сможет выиграть. Вначале роль ведущего берет на себя взрослый, но по мере усвоения </w:t>
      </w:r>
      <w:proofErr w:type="gramStart"/>
      <w:r>
        <w:rPr>
          <w:rFonts w:ascii="Times New Roman" w:hAnsi="Times New Roman"/>
          <w:sz w:val="28"/>
          <w:szCs w:val="28"/>
        </w:rPr>
        <w:t>правил</w:t>
      </w:r>
      <w:proofErr w:type="gramEnd"/>
      <w:r>
        <w:rPr>
          <w:rFonts w:ascii="Times New Roman" w:hAnsi="Times New Roman"/>
          <w:sz w:val="28"/>
          <w:szCs w:val="28"/>
        </w:rPr>
        <w:t xml:space="preserve"> эта роль переходит ребенку. Далее партнерами по игре могут выступать и другие дети.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>Игры, способствующие усвоению знаков и символов и названий.</w:t>
      </w:r>
    </w:p>
    <w:p w:rsidR="00195C28" w:rsidRDefault="00195C28" w:rsidP="00195C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Множество современных детских настольных игр содержит многоразовые наклейки, облегчающие усвоение знаков и символов, употребляемых в повседневной жизни: дорожные знаки, опознавательные знаки специальных транспортных средств, лечебных, образовательных учреждений, магазинов, центров культуры и спорта, названий животных и растений и др. Привлекают д</w:t>
      </w:r>
      <w:r>
        <w:rPr>
          <w:rFonts w:ascii="Times New Roman" w:hAnsi="Times New Roman"/>
          <w:sz w:val="28"/>
          <w:szCs w:val="28"/>
        </w:rPr>
        <w:t>етей игры со штампами, печатями</w:t>
      </w:r>
      <w:r>
        <w:rPr>
          <w:rFonts w:ascii="Times New Roman" w:hAnsi="Times New Roman"/>
          <w:sz w:val="28"/>
          <w:szCs w:val="28"/>
        </w:rPr>
        <w:t>, наклейками, оставляющими на листе готовое изображение, которое легко обыграть, раскрасить, создать композицию (следует помнить, что чем</w:t>
      </w:r>
      <w:proofErr w:type="gramEnd"/>
      <w:r>
        <w:rPr>
          <w:rFonts w:ascii="Times New Roman" w:hAnsi="Times New Roman"/>
          <w:sz w:val="28"/>
          <w:szCs w:val="28"/>
        </w:rPr>
        <w:t xml:space="preserve"> младше ребенок, тем крупнее должно быть изображение, а шестилетние дети любят мелкие картинки с множеством деталей).</w:t>
      </w:r>
    </w:p>
    <w:p w:rsidR="00195C28" w:rsidRDefault="00195C28" w:rsidP="00195C28">
      <w:pPr>
        <w:shd w:val="clear" w:color="auto" w:fill="FFFFFF"/>
        <w:spacing w:before="168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Таким образом, увлекательные настольно-печатные дидактические игры создают у дошкольников интерес к решению интеллектуальных задач: </w:t>
      </w:r>
      <w:r>
        <w:rPr>
          <w:rFonts w:ascii="Times New Roman" w:hAnsi="Times New Roman"/>
          <w:sz w:val="28"/>
          <w:szCs w:val="28"/>
        </w:rPr>
        <w:lastRenderedPageBreak/>
        <w:t>успешный результат умственного усилия, преодоления трудностей приносит им удовлетворение. Увлечение игрой повышает способность к произвольному вниманию, обостряет наблюдательность, помогает быстрому и прочному запоминанию. Все это делает настольно-печатную дидактическую игру важным средством подготовки детей к школе. Играя, ребенок активно стремится что-то узнать, ищет, проявляет усилия и находит, обогащается его духовный мир. А это все содействует умственному и общему развитию.</w:t>
      </w:r>
    </w:p>
    <w:p w:rsidR="007E32E0" w:rsidRDefault="007E32E0"/>
    <w:sectPr w:rsidR="007E32E0" w:rsidSect="00195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28" w:rsidRDefault="00195C28" w:rsidP="00195C28">
      <w:pPr>
        <w:spacing w:after="0" w:line="240" w:lineRule="auto"/>
      </w:pPr>
      <w:r>
        <w:separator/>
      </w:r>
    </w:p>
  </w:endnote>
  <w:endnote w:type="continuationSeparator" w:id="0">
    <w:p w:rsidR="00195C28" w:rsidRDefault="00195C28" w:rsidP="0019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8" w:rsidRDefault="00195C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712556"/>
      <w:docPartObj>
        <w:docPartGallery w:val="Page Numbers (Bottom of Page)"/>
        <w:docPartUnique/>
      </w:docPartObj>
    </w:sdtPr>
    <w:sdtContent>
      <w:p w:rsidR="00195C28" w:rsidRDefault="00195C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195C28" w:rsidRDefault="00195C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8" w:rsidRDefault="00195C28">
    <w:pPr>
      <w:pStyle w:val="a6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28" w:rsidRDefault="00195C28" w:rsidP="00195C28">
      <w:pPr>
        <w:spacing w:after="0" w:line="240" w:lineRule="auto"/>
      </w:pPr>
      <w:r>
        <w:separator/>
      </w:r>
    </w:p>
  </w:footnote>
  <w:footnote w:type="continuationSeparator" w:id="0">
    <w:p w:rsidR="00195C28" w:rsidRDefault="00195C28" w:rsidP="0019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8" w:rsidRDefault="00195C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8" w:rsidRDefault="00195C2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28" w:rsidRDefault="00195C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4BF"/>
    <w:multiLevelType w:val="hybridMultilevel"/>
    <w:tmpl w:val="C974FCF0"/>
    <w:lvl w:ilvl="0" w:tplc="09FEA4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3"/>
    <w:rsid w:val="00195C28"/>
    <w:rsid w:val="007E32E0"/>
    <w:rsid w:val="00F3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5C28"/>
    <w:pPr>
      <w:ind w:left="720"/>
      <w:contextualSpacing/>
    </w:pPr>
  </w:style>
  <w:style w:type="character" w:customStyle="1" w:styleId="FontStyle23">
    <w:name w:val="Font Style23"/>
    <w:uiPriority w:val="99"/>
    <w:rsid w:val="00195C28"/>
    <w:rPr>
      <w:rFonts w:ascii="Times New Roman" w:hAnsi="Times New Roman" w:cs="Times New Roman" w:hint="default"/>
      <w:i/>
      <w:i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9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C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9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C2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5C28"/>
    <w:pPr>
      <w:ind w:left="720"/>
      <w:contextualSpacing/>
    </w:pPr>
  </w:style>
  <w:style w:type="character" w:customStyle="1" w:styleId="FontStyle23">
    <w:name w:val="Font Style23"/>
    <w:uiPriority w:val="99"/>
    <w:rsid w:val="00195C28"/>
    <w:rPr>
      <w:rFonts w:ascii="Times New Roman" w:hAnsi="Times New Roman" w:cs="Times New Roman" w:hint="default"/>
      <w:i/>
      <w:i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9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C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95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C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2014-11-18T14:41:00Z</dcterms:created>
  <dcterms:modified xsi:type="dcterms:W3CDTF">2014-11-18T14:47:00Z</dcterms:modified>
</cp:coreProperties>
</file>