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9C" w:rsidRDefault="005C2F9C" w:rsidP="005C2F9C">
      <w:pPr>
        <w:ind w:left="-284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765300" cy="1911350"/>
            <wp:effectExtent l="190500" t="152400" r="177800" b="127000"/>
            <wp:docPr id="64" name="Рисунок 24" descr="IMGA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67" cy="1893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739900" cy="1911350"/>
            <wp:effectExtent l="190500" t="152400" r="165100" b="127000"/>
            <wp:docPr id="65" name="Рисунок 25" descr="IMGA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91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778000" cy="1917700"/>
            <wp:effectExtent l="190500" t="152400" r="165100" b="139700"/>
            <wp:docPr id="68" name="Рисунок 28" descr="IMGA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803400" cy="1930400"/>
            <wp:effectExtent l="190500" t="152400" r="177800" b="127000"/>
            <wp:docPr id="69" name="Рисунок 27" descr="IMGA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831" cy="1931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2F9C" w:rsidRDefault="005C2F9C" w:rsidP="005C2F9C">
      <w:pPr>
        <w:ind w:left="-284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746250" cy="1955800"/>
            <wp:effectExtent l="190500" t="152400" r="177800" b="139700"/>
            <wp:docPr id="71" name="Рисунок 29" descr="IMGA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5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2" cy="1956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  </w:t>
      </w:r>
      <w:r w:rsidRPr="00E93C88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inline distT="0" distB="0" distL="0" distR="0">
            <wp:extent cx="1346200" cy="1968500"/>
            <wp:effectExtent l="190500" t="152400" r="177800" b="127000"/>
            <wp:docPr id="72" name="Рисунок 42" descr="IMGA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393" cy="1971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2F9C" w:rsidRDefault="005C2F9C" w:rsidP="005C2F9C">
      <w:pP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 w:rsidRPr="005C2F9C"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-7312660</wp:posOffset>
            </wp:positionV>
            <wp:extent cx="11899900" cy="8026400"/>
            <wp:effectExtent l="19050" t="0" r="6350" b="0"/>
            <wp:wrapNone/>
            <wp:docPr id="37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2F9C" w:rsidRDefault="005C2F9C" w:rsidP="005C2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</w:pPr>
      <w:r w:rsidRPr="005B5693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  <w:lastRenderedPageBreak/>
        <w:t>Игры на автоматизацию и дифференциацию звуков («Эхо», «Скажи наоборот», «Познакомь звуки» и др.).</w:t>
      </w:r>
    </w:p>
    <w:p w:rsidR="005C2F9C" w:rsidRPr="005B5693" w:rsidRDefault="005C2F9C" w:rsidP="005C2F9C">
      <w:pPr>
        <w:pStyle w:val="a3"/>
        <w:ind w:left="78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</w:pPr>
    </w:p>
    <w:p w:rsidR="005C2F9C" w:rsidRDefault="005C2F9C" w:rsidP="005C2F9C">
      <w:pPr>
        <w:pStyle w:val="a3"/>
        <w:ind w:left="0" w:right="-440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Цель: закреплять правильное произношение звуков, дифференцировать звуки, развивать слуховое и зрительное внимание.</w:t>
      </w:r>
    </w:p>
    <w:p w:rsidR="005C2F9C" w:rsidRPr="005B5693" w:rsidRDefault="005C2F9C" w:rsidP="005C2F9C">
      <w:pPr>
        <w:pStyle w:val="a3"/>
        <w:ind w:left="0" w:right="-440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4330700" cy="2373717"/>
            <wp:effectExtent l="190500" t="190500" r="203200" b="178983"/>
            <wp:docPr id="4" name="Рисунок 0" descr="IMGA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8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606" cy="235886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C2F9C" w:rsidRPr="00E4568A" w:rsidRDefault="005C2F9C" w:rsidP="005C2F9C">
      <w:pPr>
        <w:ind w:right="-440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DA7333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С помощью «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Слогового экрана» можно в игровой форме проводить автоматизацию или дифференциацию звуков в слогах (прямых и обратных). При том варианты игр могут быть различными.</w:t>
      </w:r>
    </w:p>
    <w:p w:rsidR="005C2F9C" w:rsidRDefault="005C2F9C" w:rsidP="005C2F9C">
      <w:pPr>
        <w:ind w:firstLine="284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  <w:t xml:space="preserve">                   </w:t>
      </w:r>
    </w:p>
    <w:p w:rsidR="00A2522E" w:rsidRDefault="00A2522E"/>
    <w:sectPr w:rsidR="00A2522E" w:rsidSect="005C2F9C">
      <w:pgSz w:w="16838" w:h="11906" w:orient="landscape"/>
      <w:pgMar w:top="142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F2A"/>
    <w:multiLevelType w:val="hybridMultilevel"/>
    <w:tmpl w:val="6380A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F9C"/>
    <w:rsid w:val="005C2F9C"/>
    <w:rsid w:val="00A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WolfishLair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2012-02-04T08:59:00Z</dcterms:created>
  <dcterms:modified xsi:type="dcterms:W3CDTF">2012-02-04T09:00:00Z</dcterms:modified>
</cp:coreProperties>
</file>