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74" w:rsidRPr="00897374" w:rsidRDefault="00FB1AFB" w:rsidP="00897374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Методические рекомендации по обучению</w:t>
      </w:r>
    </w:p>
    <w:p w:rsidR="00FB1AFB" w:rsidRPr="00897374" w:rsidRDefault="00FB1AFB" w:rsidP="00897374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волейболу учащихся начальных классов</w:t>
      </w:r>
    </w:p>
    <w:p w:rsidR="00FB1AFB" w:rsidRPr="00897374" w:rsidRDefault="00FB1AFB" w:rsidP="00897374">
      <w:pPr>
        <w:spacing w:before="240" w:after="24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1AFB" w:rsidRPr="00897374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>Данные методические рекомендации можно использовать как учебное пособие в школах для обучения волейболу школьников начальных классов, тем самым вовлекая их в спортивные секции и укрепляя здоровье.</w:t>
      </w:r>
    </w:p>
    <w:p w:rsidR="00FB1AFB" w:rsidRPr="00897374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надо обратить на детей первых классов. В этом возрасте дети внимательны, любознательны. Поэтому в первый год мы объясняем детям, что такое волейбол, чем он отличается от других видов спорта, количество игроков, для чего нужна сетка и размеры площадки. Главная цель каждой команды – перебросить мяч через сетку на половину соперника таким образом, чтобы тот не смог его возвратить обратно. Знакомим с расстановкой игроков и их ролью на площадке. Для этого учитель на каждой стороне площадки рисует схему с указанием номера каждого игрока. По свистку учителя ученик должен встать на тот номер, который ему укажут. Итак, на протяжении ряда уроков ученики выходят на разные номера. </w:t>
      </w:r>
      <w:proofErr w:type="gramStart"/>
      <w:r w:rsidRPr="00897374">
        <w:rPr>
          <w:rFonts w:ascii="Times New Roman" w:eastAsia="Times New Roman" w:hAnsi="Times New Roman" w:cs="Times New Roman"/>
          <w:sz w:val="24"/>
          <w:szCs w:val="24"/>
        </w:rPr>
        <w:t>После того как они запомнят расположение игроков на площадке, дается домашнее задание (нарисовать схему расстановки игроков</w:t>
      </w:r>
      <w:r w:rsidR="008973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7374">
        <w:rPr>
          <w:rFonts w:ascii="Times New Roman" w:eastAsia="Times New Roman" w:hAnsi="Times New Roman" w:cs="Times New Roman"/>
          <w:sz w:val="24"/>
          <w:szCs w:val="24"/>
        </w:rPr>
        <w:tab/>
      </w:r>
      <w:r w:rsidRPr="0089737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FB1AFB" w:rsidRPr="00897374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>Следующий этап подготовки: изучение стойки волейболиста, перемещение в стойке приставным шагом боком, лицом и спиной вперед, изучаем различные упражнения с мячом. Освоив мяч, дети начинают играть в волейбол резиновыми мячами. Начиная с 3–4-х классов, дети играют кожаными мячами. Чтобы легче было усвоить материал, в процессе урока используется литература в виде стихов.</w:t>
      </w:r>
    </w:p>
    <w:p w:rsidR="00FB1AFB" w:rsidRPr="00897374" w:rsidRDefault="00FB1AFB" w:rsidP="00897374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>Что такое волейбол?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Не похож он на футбол.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Бегать далеко не надо.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прыгай </w:t>
      </w:r>
      <w:proofErr w:type="gramStart"/>
      <w:r w:rsidRPr="0089737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97374">
        <w:rPr>
          <w:rFonts w:ascii="Times New Roman" w:eastAsia="Times New Roman" w:hAnsi="Times New Roman" w:cs="Times New Roman"/>
          <w:sz w:val="24"/>
          <w:szCs w:val="24"/>
        </w:rPr>
        <w:t xml:space="preserve"> упаду.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Бей по мячику сильней,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Ну и главное точней.</w:t>
      </w:r>
    </w:p>
    <w:p w:rsidR="00FB1AFB" w:rsidRPr="00897374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>Волейбол – захватывающее зрелище. Это игра – отличный досуг для школьников. Волейбольные команды сплачивают одноклассников. Правила и техника волейбола не сложны. Спортивная экипировка проста и недорога. Играть можно как в помещении, так и на открытом воздухе. Число игроков в команде может колебаться от двух (пляжный волейбол) до шести.</w:t>
      </w:r>
    </w:p>
    <w:p w:rsidR="00FB1AFB" w:rsidRPr="00897374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 xml:space="preserve">Начинающие игроки должны ознакомиться с разметкой волейбольной площадки. Ее длина – 18 м, ширина – 9 м. Площадка ограничена боковыми и лицевыми линиями, которые считаются частью игрового поля. Через всю площадку протянута сетка. Она делит спортивную площадку на две равные части, то есть на площадки соперников. Параллельно средней линии, в трех метрах от нее, по обеим площадкам проходит линия нападения. Площадь подачи находится за лицевой линией, в правом углу. Ширина ее три метра. Выполняя подачу, игрок может отступить назад не менее чем на 2 метра. Точная высота волейбольной сетки – 2,24 м (для женщин) и 2,43 м (для мужчин). Чтобы дети били метко, я рекомендую опустить сетку для девочек – 1,7 м, для мальчиков – 2 м. В обеих командах на площадке находятся шесть игроков. Еще шесть в запасе. Порядок расстановки игроков в начале партии и по ходу игры не меняется. Во время совершения подачи все игроки обеих команд находятся строго на своих местах. Трое из них называются игроками передней линии, а трое других – задней. Игроки передней линии – 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lastRenderedPageBreak/>
        <w:t>нападающие: левый (4-лн), центральный (3-цн), правый (2-пн). Игроки задней линии – защитники: левый (5-лз), центральный (6-цз), правый (1-пз).</w:t>
      </w:r>
    </w:p>
    <w:p w:rsidR="00FB1AFB" w:rsidRPr="00897374" w:rsidRDefault="00FB1AFB" w:rsidP="00897374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7374">
        <w:rPr>
          <w:rFonts w:ascii="Times New Roman" w:eastAsia="Times New Roman" w:hAnsi="Times New Roman" w:cs="Times New Roman"/>
          <w:sz w:val="24"/>
          <w:szCs w:val="24"/>
        </w:rPr>
        <w:t>"Первый" номер подает,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"Третий" номер пас дает,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Нападают "Два", "Четыре",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"Шесть" – защитник лучший в мире.</w:t>
      </w:r>
      <w:proofErr w:type="gramEnd"/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Помогает номер "Пять"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Трудные мячи поднять.</w:t>
      </w:r>
    </w:p>
    <w:p w:rsidR="00FB1AFB" w:rsidRPr="00897374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 xml:space="preserve">До того как произведена подача, все игроки обязаны находится на своих местах, которые они заняли в результате последнего перехода из зоны в зону. Иными словами, нельзя уходить с передней линии на </w:t>
      </w:r>
      <w:proofErr w:type="gramStart"/>
      <w:r w:rsidRPr="00897374">
        <w:rPr>
          <w:rFonts w:ascii="Times New Roman" w:eastAsia="Times New Roman" w:hAnsi="Times New Roman" w:cs="Times New Roman"/>
          <w:sz w:val="24"/>
          <w:szCs w:val="24"/>
        </w:rPr>
        <w:t>заднюю</w:t>
      </w:r>
      <w:proofErr w:type="gramEnd"/>
      <w:r w:rsidRPr="00897374">
        <w:rPr>
          <w:rFonts w:ascii="Times New Roman" w:eastAsia="Times New Roman" w:hAnsi="Times New Roman" w:cs="Times New Roman"/>
          <w:sz w:val="24"/>
          <w:szCs w:val="24"/>
        </w:rPr>
        <w:t xml:space="preserve"> и наоборот, или смещаться </w:t>
      </w:r>
      <w:proofErr w:type="spellStart"/>
      <w:r w:rsidRPr="00897374">
        <w:rPr>
          <w:rFonts w:ascii="Times New Roman" w:eastAsia="Times New Roman" w:hAnsi="Times New Roman" w:cs="Times New Roman"/>
          <w:sz w:val="24"/>
          <w:szCs w:val="24"/>
        </w:rPr>
        <w:t>влево-вправо</w:t>
      </w:r>
      <w:proofErr w:type="spellEnd"/>
      <w:r w:rsidR="008973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t>Если розыгрыш мяча выигрывает в итоге команда, принимавшая подачу, право на подачу переходит к ней. Заработав отыгрыш подачи, игроки этой команды передвигаются по часовой стрелке на позицию вперед. Как видите, каждый волейболист должен быть универсалом, уметь играть на всех позициях. Этим-то волейбол и отличается от других командных видов спорта.</w:t>
      </w:r>
    </w:p>
    <w:p w:rsidR="00FB1AFB" w:rsidRPr="00897374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>Волейбольный матч состоит из трех или пяти партий. Для победы надо выиграть либо две партии из трех, либо три из пяти. Счет в каждой волейбольной партии до 25 очков, но преимущество победителя над противником должно быть не менее двух очков. Для детей младших классов рекомендую играть до 17 очков.</w:t>
      </w:r>
    </w:p>
    <w:p w:rsidR="00FB1AFB" w:rsidRPr="00897374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урока дети должны в течение 5–10 минут размяться, разогреться для лучшего кровообращения. Здесь существует множество способов. Можно побегать, попрыгать со скакалкой. Полезно так же имитировать прыжки, сопровождающие удар или блокировку. Начинать разминку следует с легких упражнений, постепенно увеличивая нагрузку. Важны также растяжки, повышающие гибкость тела. Растягивать нужно те мышцы, которые задействованы по ходу игры и, соответственно, наиболее подвержены травмам. Руки, ноги, ступни, спина, шея – все это нуждается в растяжке. В младшем возрасте закладываются основы игровой деятельности, направленные на </w:t>
      </w:r>
      <w:proofErr w:type="gramStart"/>
      <w:r w:rsidRPr="00897374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proofErr w:type="gramEnd"/>
      <w:r w:rsidRPr="00897374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естественных движений (ходьба, бег, прыжки),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 в средних и старших классах. Система упражнений с большими и малыми мячами составляет своеобразную школу мяча. Очень важно, чтобы этой школой овладел каждый ученик начальных классов. Движение с мячом рекомендуется выполнять примерно в равном соотношении для обеих рук и ног.</w:t>
      </w:r>
    </w:p>
    <w:p w:rsidR="00FB1AFB" w:rsidRPr="00897374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 xml:space="preserve">Данная методика </w:t>
      </w:r>
      <w:proofErr w:type="gramStart"/>
      <w:r w:rsidRPr="00897374">
        <w:rPr>
          <w:rFonts w:ascii="Times New Roman" w:eastAsia="Times New Roman" w:hAnsi="Times New Roman" w:cs="Times New Roman"/>
          <w:sz w:val="24"/>
          <w:szCs w:val="24"/>
        </w:rPr>
        <w:t>приносит свои результаты</w:t>
      </w:r>
      <w:proofErr w:type="gramEnd"/>
      <w:r w:rsidRPr="00897374">
        <w:rPr>
          <w:rFonts w:ascii="Times New Roman" w:eastAsia="Times New Roman" w:hAnsi="Times New Roman" w:cs="Times New Roman"/>
          <w:sz w:val="24"/>
          <w:szCs w:val="24"/>
        </w:rPr>
        <w:t xml:space="preserve">. Игра в волейбол привлекает детей, и они с радостью бегут в спортивный зал. В этом возрасте дети уже имеют опыт коллективных и командных игр. Игровое мышление ребенка приобретает аналитико-критический характер, развивается способность к абстрактному мышлению, что позволяет преподавателям предлагать детям преимущественно командные игры, более сложные по содержанию и правилам. Дети в этом возрасте стремятся проявить себя именно в коллективных действиях, в общем стремлении к достижению игровой цели. Детям этого возраста интересен не только результат игры, но и непосредственное участие в игре, в ходе которой </w:t>
      </w:r>
      <w:proofErr w:type="gramStart"/>
      <w:r w:rsidRPr="00897374">
        <w:rPr>
          <w:rFonts w:ascii="Times New Roman" w:eastAsia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897374">
        <w:rPr>
          <w:rFonts w:ascii="Times New Roman" w:eastAsia="Times New Roman" w:hAnsi="Times New Roman" w:cs="Times New Roman"/>
          <w:sz w:val="24"/>
          <w:szCs w:val="24"/>
        </w:rPr>
        <w:t xml:space="preserve"> проявить свою физическую подготовленность, остроту мышления. Дети этого возраста достаточно тонко относятся к ситуациям честного ведения игровой борьбы и к нечестным поступкам игроков другой команды. В этом возрасте важно поощрять признание ребенком совершенной ошибки и, безусловно, ограничивать воздействие наказанием. Дети достаточно остро воспринимают в этом возрасте качество судейства, которое, безусловно, зависит от подготовленности судьи и, 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особенно из числа помощников. Поэтому важно ответственное отношение к их назначению и специальная предварительная судейская подготовка, организованная преподавателем. В нашей школе существуют секции и кружки по волейболу. В них занимаются дети и начальных классов. В ходе занятия преподаватель выявляет перспективных и одаренных детей и формирует из них команды по волейболу из девочек и мальчиков. Ежегодно эти команды участвуют во </w:t>
      </w:r>
      <w:proofErr w:type="spellStart"/>
      <w:r w:rsidRPr="00897374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897374">
        <w:rPr>
          <w:rFonts w:ascii="Times New Roman" w:eastAsia="Times New Roman" w:hAnsi="Times New Roman" w:cs="Times New Roman"/>
          <w:sz w:val="24"/>
          <w:szCs w:val="24"/>
        </w:rPr>
        <w:t>, районных и окружных соревнованиях и занимают призовые места.</w:t>
      </w:r>
    </w:p>
    <w:p w:rsidR="00FB1AFB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по волейболу для учащихся 1–4-х классов.</w:t>
      </w:r>
    </w:p>
    <w:p w:rsidR="00897374" w:rsidRPr="00897374" w:rsidRDefault="00897374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AFB" w:rsidRPr="00897374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>Игроки делятся по парам и встают напротив друг друга.</w:t>
      </w:r>
    </w:p>
    <w:p w:rsidR="00FB1AFB" w:rsidRPr="00897374" w:rsidRDefault="00FB1AFB" w:rsidP="00897374">
      <w:pPr>
        <w:spacing w:after="12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>1 упр. – подбрасывание мяча (5 раз) и катишь мяч партнеру. (Свисток – мяч в ноги.)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2 упр. – ловля и передача мяча двумя руками от груди. (Свисток – мяч в ноги.)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3 упр. – ловля и передача мяча двумя руками из-за головы. (Свисток – мяч в ноги.)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4 упр. – верхняя передача мяча над собой (до 3-х ошибок).</w:t>
      </w:r>
    </w:p>
    <w:p w:rsidR="00FB1AFB" w:rsidRPr="00897374" w:rsidRDefault="00FB1AFB" w:rsidP="0089737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>Первая ошибка – ловля мяча. Вторая ошибка – падение на пол. Третья ошибка – отбивание снизу. (Катишь мяч партнеру.)</w:t>
      </w:r>
    </w:p>
    <w:p w:rsidR="00FB1AFB" w:rsidRPr="00897374" w:rsidRDefault="00FB1AFB" w:rsidP="00897374">
      <w:pPr>
        <w:spacing w:after="12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374">
        <w:rPr>
          <w:rFonts w:ascii="Times New Roman" w:eastAsia="Times New Roman" w:hAnsi="Times New Roman" w:cs="Times New Roman"/>
          <w:sz w:val="24"/>
          <w:szCs w:val="24"/>
        </w:rPr>
        <w:t>5 упр. – нижняя передача над собой (до 3-х падений). (</w:t>
      </w:r>
      <w:proofErr w:type="gramStart"/>
      <w:r w:rsidRPr="00897374">
        <w:rPr>
          <w:rFonts w:ascii="Times New Roman" w:eastAsia="Times New Roman" w:hAnsi="Times New Roman" w:cs="Times New Roman"/>
          <w:sz w:val="24"/>
          <w:szCs w:val="24"/>
        </w:rPr>
        <w:t>Катишь</w:t>
      </w:r>
      <w:proofErr w:type="gramEnd"/>
      <w:r w:rsidRPr="00897374">
        <w:rPr>
          <w:rFonts w:ascii="Times New Roman" w:eastAsia="Times New Roman" w:hAnsi="Times New Roman" w:cs="Times New Roman"/>
          <w:sz w:val="24"/>
          <w:szCs w:val="24"/>
        </w:rPr>
        <w:t xml:space="preserve"> мяч партнеру.)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6 упр. – партнер набрасывает мяч партнеру, а тот отбивает сверху.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7 упр. – партнер набрасывает мяч партнеру, а тот отбивает снизу.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8 упр. – партнер набрасывает мяч над сеткой, а тот выполняет нападающий удар.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9 упр. – верхняя передача мяча в паре через сетку.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10 упр. – нижняя передача мяча в паре через сетку.</w:t>
      </w:r>
      <w:r w:rsidRPr="00897374">
        <w:rPr>
          <w:rFonts w:ascii="Times New Roman" w:eastAsia="Times New Roman" w:hAnsi="Times New Roman" w:cs="Times New Roman"/>
          <w:sz w:val="24"/>
          <w:szCs w:val="24"/>
        </w:rPr>
        <w:br/>
        <w:t>11 упр. – выполнение верхней прямой подачи мяча.</w:t>
      </w:r>
    </w:p>
    <w:p w:rsidR="00BA6C4D" w:rsidRPr="00897374" w:rsidRDefault="00BA6C4D">
      <w:pPr>
        <w:rPr>
          <w:rFonts w:ascii="Times New Roman" w:hAnsi="Times New Roman" w:cs="Times New Roman"/>
          <w:sz w:val="24"/>
          <w:szCs w:val="24"/>
        </w:rPr>
      </w:pPr>
    </w:p>
    <w:sectPr w:rsidR="00BA6C4D" w:rsidRPr="00897374" w:rsidSect="007E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4D97"/>
    <w:multiLevelType w:val="multilevel"/>
    <w:tmpl w:val="1294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AFB"/>
    <w:rsid w:val="007E461B"/>
    <w:rsid w:val="00897374"/>
    <w:rsid w:val="00BA6C4D"/>
    <w:rsid w:val="00FB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1B"/>
  </w:style>
  <w:style w:type="paragraph" w:styleId="1">
    <w:name w:val="heading 1"/>
    <w:basedOn w:val="a"/>
    <w:link w:val="10"/>
    <w:uiPriority w:val="9"/>
    <w:qFormat/>
    <w:rsid w:val="00FB1AFB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AFB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FB1AFB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FB1AFB"/>
    <w:rPr>
      <w:i/>
      <w:iCs/>
    </w:rPr>
  </w:style>
  <w:style w:type="character" w:styleId="a5">
    <w:name w:val="Strong"/>
    <w:basedOn w:val="a0"/>
    <w:uiPriority w:val="22"/>
    <w:qFormat/>
    <w:rsid w:val="00FB1AFB"/>
    <w:rPr>
      <w:b/>
      <w:bCs/>
    </w:rPr>
  </w:style>
  <w:style w:type="paragraph" w:styleId="a6">
    <w:name w:val="Normal (Web)"/>
    <w:basedOn w:val="a"/>
    <w:uiPriority w:val="99"/>
    <w:semiHidden/>
    <w:unhideWhenUsed/>
    <w:rsid w:val="00FB1A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895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474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18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1193</Words>
  <Characters>6801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2014-09-15T08:09:00Z</dcterms:created>
  <dcterms:modified xsi:type="dcterms:W3CDTF">2014-09-16T02:17:00Z</dcterms:modified>
</cp:coreProperties>
</file>