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AB" w:rsidRPr="00A529A8" w:rsidRDefault="00B9187A" w:rsidP="00A529A8">
      <w:pPr>
        <w:shd w:val="clear" w:color="auto" w:fill="F3F3F3"/>
        <w:spacing w:after="0" w:line="626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918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ДВОРЕЦ КУЛЬТУРЫ ХИМИКОВ</w:t>
      </w:r>
    </w:p>
    <w:p w:rsidR="00B9187A" w:rsidRPr="00B9187A" w:rsidRDefault="00B9187A" w:rsidP="00B9187A">
      <w:pPr>
        <w:jc w:val="both"/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В далеком 1938 году советское правительство выделило молодому городу Дзержинску 6 миллионов рублей на строительство крупного учреждения культуры, которое бы стало центром научно-технического прогресса и научного творчества. Но время спутало планы, прошло еще 20 </w:t>
      </w:r>
      <w:proofErr w:type="gramStart"/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лет</w:t>
      </w:r>
      <w:proofErr w:type="gramEnd"/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 прежде чем на песчаном пустыре выросло красивое здание Дворца культуры химиков. Главный архитектор города Дзержинска Алексей Федорович </w:t>
      </w:r>
      <w:proofErr w:type="spellStart"/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Кусакин</w:t>
      </w:r>
      <w:proofErr w:type="spellEnd"/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 мечтал построить, на этом месте новый театр и в 1951 году уже, был создан его макет.</w:t>
      </w:r>
      <w:r w:rsidRPr="00B9187A"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 </w:t>
      </w:r>
    </w:p>
    <w:p w:rsidR="00B9187A" w:rsidRPr="00B9187A" w:rsidRDefault="00B9187A" w:rsidP="00B9187A">
      <w:pPr>
        <w:jc w:val="both"/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Стройка такого типа здания, такого объема и размаха, с такой отделкой велась в Дзержинске впервые. Специальный проект заказывать не стали. За основу был взят проект Дворца Нижнетагильского металлургического комбината, построенного в мае 1952 года. Автором проекта был заслуженный архитектор РСФСР Владимир Николаевич Емельянов.</w:t>
      </w:r>
      <w:r w:rsidRPr="00B9187A"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 </w:t>
      </w:r>
    </w:p>
    <w:p w:rsidR="00B9187A" w:rsidRDefault="00B9187A" w:rsidP="00B9187A">
      <w:pPr>
        <w:jc w:val="both"/>
        <w:rPr>
          <w:rStyle w:val="apple-converted-space"/>
          <w:rFonts w:ascii="Verdana" w:hAnsi="Verdana"/>
          <w:color w:val="666666"/>
          <w:shd w:val="clear" w:color="auto" w:fill="F3F3F3"/>
        </w:rPr>
      </w:pPr>
      <w:r>
        <w:rPr>
          <w:noProof/>
        </w:rPr>
        <w:drawing>
          <wp:inline distT="0" distB="0" distL="0" distR="0">
            <wp:extent cx="2381885" cy="1488440"/>
            <wp:effectExtent l="19050" t="0" r="0" b="0"/>
            <wp:docPr id="7" name="Рисунок 7" descr="ДК НТМК в Нижнем Таг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К НТМК в Нижнем Тагил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7A" w:rsidRPr="00B9187A" w:rsidRDefault="00B9187A" w:rsidP="00B9187A">
      <w:pPr>
        <w:jc w:val="both"/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В книге летописи города, в разделе «Учреждение культуры» сделана запись, которая гласит «Дворец культуры (химиков) заложен 22 августа 1955 года на проспекте Ленина, бывшем проспекте Свердлова».</w:t>
      </w:r>
      <w:r w:rsidRPr="00B9187A">
        <w:rPr>
          <w:rStyle w:val="apple-converted-space"/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 </w:t>
      </w:r>
    </w:p>
    <w:p w:rsidR="00B9187A" w:rsidRDefault="00B9187A">
      <w:r>
        <w:rPr>
          <w:noProof/>
        </w:rPr>
        <w:drawing>
          <wp:inline distT="0" distB="0" distL="0" distR="0">
            <wp:extent cx="2381885" cy="1488440"/>
            <wp:effectExtent l="19050" t="0" r="0" b="0"/>
            <wp:docPr id="1" name="Рисунок 1" descr="Дворец Культуры Хим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орец Культуры Хим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381885" cy="1488440"/>
            <wp:effectExtent l="19050" t="0" r="0" b="0"/>
            <wp:docPr id="4" name="Рисунок 4" descr="Дворец Культуры Хим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орец Культуры Хим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9187A" w:rsidRDefault="00B9187A"/>
    <w:p w:rsidR="00B9187A" w:rsidRDefault="00B9187A"/>
    <w:p w:rsidR="00B9187A" w:rsidRPr="00B9187A" w:rsidRDefault="00B9187A" w:rsidP="00B9187A">
      <w:pPr>
        <w:jc w:val="both"/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1 января 1959 года Дворец был официально открыт. 19 апреля ДКХ распахнул двери для горожан. Эта дата и считается днем рождения Дворца культуры химиков.</w:t>
      </w:r>
    </w:p>
    <w:p w:rsidR="00B9187A" w:rsidRDefault="00B9187A" w:rsidP="00B9187A">
      <w:pPr>
        <w:jc w:val="both"/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16 декабря 1956 года была создана академическая хоровая капелла. </w:t>
      </w:r>
    </w:p>
    <w:p w:rsidR="00B9187A" w:rsidRPr="00B9187A" w:rsidRDefault="00B9187A" w:rsidP="00B9187A">
      <w:pPr>
        <w:jc w:val="both"/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lastRenderedPageBreak/>
        <w:t xml:space="preserve">В декабре 1961 года был организован кружок классического танца. </w:t>
      </w:r>
    </w:p>
    <w:p w:rsidR="00B9187A" w:rsidRDefault="00B9187A" w:rsidP="00B9187A">
      <w:pPr>
        <w:jc w:val="both"/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В 1966 году во Дворце культуры химиков был открыт первый в городе цирковой кружок. </w:t>
      </w:r>
    </w:p>
    <w:p w:rsidR="00B9187A" w:rsidRPr="00B9187A" w:rsidRDefault="00B9187A" w:rsidP="00B9187A">
      <w:pPr>
        <w:jc w:val="both"/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</w:pPr>
      <w:r w:rsidRPr="00B9187A">
        <w:rPr>
          <w:rFonts w:ascii="Times New Roman" w:hAnsi="Times New Roman" w:cs="Times New Roman"/>
          <w:b/>
          <w:color w:val="666666"/>
          <w:sz w:val="32"/>
          <w:szCs w:val="32"/>
          <w:u w:val="single"/>
          <w:shd w:val="clear" w:color="auto" w:fill="F3F3F3"/>
        </w:rPr>
        <w:t>Дворец включает в себя 6 уровней</w:t>
      </w: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: газоубежище, цокольный этаж, первый, второй, третий этажи и ротонда (от итальянского «круглая») – круглая постройка, увенчанная куполом или шпилем, кстати, над ротондой ДКХ реет самый большой в Нижегородской области государственный флаг. Во Дворце расположен театральный зал на 850 посадочных мест. Интерьер Дворца богато отделан мрамором, полы паркетные. Снаружи цоколь здания облицован черным гранитом. Работы с мрамором и гранитом выполнили мастера, приглашенные из Армении.</w:t>
      </w:r>
    </w:p>
    <w:p w:rsidR="00B9187A" w:rsidRPr="00B9187A" w:rsidRDefault="00B9187A" w:rsidP="00B9187A">
      <w:pPr>
        <w:jc w:val="both"/>
        <w:rPr>
          <w:rFonts w:ascii="Times New Roman" w:hAnsi="Times New Roman" w:cs="Times New Roman"/>
          <w:sz w:val="32"/>
          <w:szCs w:val="32"/>
        </w:rPr>
      </w:pP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Он возведен на песчаном бархане и стоит на подиуме, как бы паря над городом, окруженный красивым сквером. К нему не просто подходишь, а торжественно восходишь по парадным ступеням широкой лестницы. Дворец культуры химиков является главным центром общественно-культурной жизни Дзержинска.</w:t>
      </w:r>
      <w:r w:rsidRPr="00B9187A">
        <w:rPr>
          <w:rFonts w:ascii="Times New Roman" w:hAnsi="Times New Roman" w:cs="Times New Roman"/>
          <w:color w:val="666666"/>
          <w:sz w:val="32"/>
          <w:szCs w:val="32"/>
        </w:rPr>
        <w:br/>
      </w:r>
      <w:r w:rsidRPr="00B9187A">
        <w:rPr>
          <w:rFonts w:ascii="Times New Roman" w:hAnsi="Times New Roman" w:cs="Times New Roman"/>
          <w:color w:val="666666"/>
          <w:sz w:val="32"/>
          <w:szCs w:val="32"/>
        </w:rPr>
        <w:br/>
      </w: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В 1997 году постановлением Законодательного собрания Нижегородской области </w:t>
      </w:r>
      <w:r w:rsidR="00A529A8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 xml:space="preserve"> </w:t>
      </w:r>
      <w:r w:rsidRPr="00B9187A">
        <w:rPr>
          <w:rFonts w:ascii="Times New Roman" w:hAnsi="Times New Roman" w:cs="Times New Roman"/>
          <w:color w:val="666666"/>
          <w:sz w:val="32"/>
          <w:szCs w:val="32"/>
          <w:shd w:val="clear" w:color="auto" w:fill="F3F3F3"/>
        </w:rPr>
        <w:t>ДКХ был признан памятником архитектуры и градостроительства.</w:t>
      </w:r>
    </w:p>
    <w:sectPr w:rsidR="00B9187A" w:rsidRPr="00B9187A" w:rsidSect="00B9187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187A"/>
    <w:rsid w:val="004F5043"/>
    <w:rsid w:val="00546BAB"/>
    <w:rsid w:val="00A529A8"/>
    <w:rsid w:val="00B9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AB"/>
  </w:style>
  <w:style w:type="paragraph" w:styleId="2">
    <w:name w:val="heading 2"/>
    <w:basedOn w:val="a"/>
    <w:link w:val="20"/>
    <w:uiPriority w:val="9"/>
    <w:qFormat/>
    <w:rsid w:val="00B91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8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9187A"/>
  </w:style>
  <w:style w:type="paragraph" w:styleId="a3">
    <w:name w:val="Balloon Text"/>
    <w:basedOn w:val="a"/>
    <w:link w:val="a4"/>
    <w:uiPriority w:val="99"/>
    <w:semiHidden/>
    <w:unhideWhenUsed/>
    <w:rsid w:val="00B9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2015-03-23T12:26:00Z</dcterms:created>
  <dcterms:modified xsi:type="dcterms:W3CDTF">2015-03-23T17:29:00Z</dcterms:modified>
</cp:coreProperties>
</file>