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proofErr w:type="gramStart"/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СССР накануне Великой Отечественной войны.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политической ситуации в СССР накануне ВОВ.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раскрыть  основные направления внутренней политики СССР накануне ВОВ;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2. выделить основные задачи и направления внешней политики СССР в предвоенное время;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формировать умение анализировать, </w:t>
      </w:r>
      <w:r w:rsidR="00575D80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свою точку зрения;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способствовать ориентации личности школьника на гуманистические ценности в международных отношениях.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учебник О.В. Волобуев, В.А. Клоков, М.В. Пономарёв, В.А. Рогожкин. Россия и мир. 11 класс; ПК.</w:t>
      </w:r>
    </w:p>
    <w:p w:rsidR="00F7783A" w:rsidRPr="00731FC3" w:rsidRDefault="00F7783A" w:rsidP="00731FC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proofErr w:type="gramStart"/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</w:t>
      </w:r>
      <w:proofErr w:type="spellEnd"/>
      <w:proofErr w:type="gramEnd"/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момент.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Вступительное слово учителя.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1939 год. Какая ситуация сложилась в Европе? (подчинив своёй власти почти всю Европу, гитлеровская Германия начала подготовку к нападению на СССР).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можно найти немало научных, научно-популярных книг о политике СССР в 1939-1941 годах. Но в изучении предыстории ВОВ всё ещё много нерешённых вопросов. Авторы выдвигают свои гипотезы, предположения относительно того, что происходило в СССР в предвоенный период.</w:t>
      </w:r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Учитель</w:t>
      </w:r>
      <w:r w:rsidRPr="00575D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="00F7783A"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Постарайтесь определить цель сегодняшнего урока.</w:t>
      </w:r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(рассмотрение ситуации, сложившейся в СССР накануне</w:t>
      </w:r>
      <w:proofErr w:type="gramStart"/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войны, выяснение, каким образом политика руководства СССР способствовала развязыванию войны, подготовка нашей страны к войне).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Изучение новой темы.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1) Подготовка СССР к войне.</w:t>
      </w:r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Сказать, что СССР не готовился к войне, мы не можем, т.к. приближение войны чувствовалось в политической обстановке, сложившейся к концу 30-х годов и её неотвратимость обусловливалась действиями Герман</w:t>
      </w:r>
      <w:proofErr w:type="gramStart"/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союзников. Поэтому СССР готовился к войне, готовился очень напряженно.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 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основные направления подготовки к возможному вооружённому конфликту;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перечислите конкретные мероприятия, проводимые в каждом направлении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ЭОР п.6)</w:t>
      </w:r>
    </w:p>
    <w:p w:rsidR="00F7783A" w:rsidRPr="00731FC3" w:rsidRDefault="00E555F2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F7783A" w:rsidRPr="00731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http://fcior.edu.ru/card/14238/sovetskiy-soyuz-nakanune-velikoy-otechestvennoy-voyny.html</w:t>
        </w:r>
      </w:hyperlink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Учащиеся делают выводы</w:t>
      </w:r>
      <w:r w:rsidR="00F7783A"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- В результате индустриализации и коллективизации СССР обрёл мощную промышленность;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промышленности появились новые отрасли: тяжёлое машиностроение, авиационная, химическая, оборонная.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НО: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необходимые для ведения войны масштабы производства не были достигнуты;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в армии преобладала устаревшая техника;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«Чистка» высшего командного состава вооружённых сил;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к 1941 году 7% военачальников имели высшее образование.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 Расширение территории СССР.</w:t>
      </w:r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Вспомните, какое событие произошло 23 августа 1939 года?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почему подписание советско-германского пакта о ненападении 23 августа 1939 года называют поворотным пунктом в международных отношениях?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секретными протоколами 17 сентября 1939 года Советские войска вступили на территорию Польши (Западной Украины, Западной Белоруссии), было объявлено, главная задача заключается в освобождении «братских народов» - украинцев и белорусов. 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А 22 сентября 1939 года в захваченном у Польше городе Бресте состоялся Советско-германский парад (это один из самых малоизученных фактов 2 мировой войны).</w:t>
      </w:r>
      <w:proofErr w:type="gramEnd"/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информация: 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Совместный парад вермахта и РККА в Бресте — прохождение торжественным маршем по центральной улице города подразделений XIX моторизованного корпуса вермахта (командующий корпуса — генерал танковых войск </w:t>
      </w:r>
      <w:proofErr w:type="spell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Гейнц</w:t>
      </w:r>
      <w:proofErr w:type="spell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Гудериан) и 4-го батальона 29-й отдельной танковой бригады РККА (комбриг — Семён Кривошеин), состоявшееся 22 сентября 1939 года во время официальной процедуры передачи Бреста и Брестской крепости советской стороне во время вторжения в Польшу войск Германии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СССР. Процедура завершилась торжественным спуском германского и поднятием советского флагов.</w:t>
      </w:r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Учитель: </w:t>
      </w:r>
      <w:r w:rsidR="00F7783A"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Посмотрим фрагмент парада.</w:t>
      </w:r>
    </w:p>
    <w:p w:rsidR="00F7783A" w:rsidRPr="00731FC3" w:rsidRDefault="00E555F2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F7783A" w:rsidRPr="00731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http://wiki.istmat.info/миф:совместный_парад_в_бресте</w:t>
        </w:r>
      </w:hyperlink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две точки зрения на этот парад: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1)парад продемонстрировал всему миру дружбу, скреплённую кровью при взятии Польши;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2)просто передача города Советским войскам.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какого мнения вы?</w:t>
      </w:r>
    </w:p>
    <w:p w:rsidR="00575D80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Кроме оккупированной Польши по договору Риббентроп-Молотов в сферу интересов СССР попали другие территории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ЭОР п.2)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в группах (1 — события в Прибалтике, 2 — Присоединение Бессарабии к СССР)</w:t>
      </w:r>
    </w:p>
    <w:p w:rsidR="00F7783A" w:rsidRPr="00731FC3" w:rsidRDefault="00E555F2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F7783A" w:rsidRPr="00731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http://fcior.edu.ru/card/14238/sovetskiy-soyuz-nakanune-velikoy-otechestvennoy-voyny.html</w:t>
        </w:r>
      </w:hyperlink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Учитель: </w:t>
      </w:r>
      <w:r w:rsidR="00F7783A"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Какую политику проводило правительство СССР на этих территориях?</w:t>
      </w:r>
    </w:p>
    <w:p w:rsidR="00575D80" w:rsidRPr="00575D80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5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Учащиеся: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1. Оккупация стран.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2. Местные правительства свергнуты.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Образованы новые правительства во главе с коммунистами.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4. Страны включены в состав СССР на правах союзных республик.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 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секретными протоколами начинается советская экспансия. Территория СССР была отодвинута на запад.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 Война с Финляндией.</w:t>
      </w:r>
    </w:p>
    <w:p w:rsidR="00F7783A" w:rsidRPr="00731FC3" w:rsidRDefault="00575D80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территорий на запад проходило без вооружённых конфликтов. Иначе развивались события на Карельском перешейке.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ходе работы с ЭОР (п.3) 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необходимо составить краткий конспект (рассказ) по теме «Советско-финляндская война»: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1)Причины войны с Финляндией.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2)Основные события.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3)Итоги войны.</w:t>
      </w:r>
    </w:p>
    <w:p w:rsidR="00F7783A" w:rsidRPr="00731FC3" w:rsidRDefault="00E555F2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F7783A" w:rsidRPr="00731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http://fcior.edu.ru/card/14238/sovetskiy-soyuz-nakanune-velikoy-otechestvennoy-voyny.html</w:t>
        </w:r>
      </w:hyperlink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(1932 год — Пакт о ненападении.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Финляндия опасалась, что рано или поздно СССР захочет вернуть себе свои территории. СССР боялся, что Финляндия может предоставить свою территорию другой недружественной стороне для нападения на СССР. 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усугублялась тем, что Ленинград находился в 32 км от границы).</w:t>
      </w:r>
      <w:proofErr w:type="gramEnd"/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proofErr w:type="spell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proofErr w:type="spell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ЭОР.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ученика о готовности к войне с Финляндией СССР.</w:t>
      </w:r>
    </w:p>
    <w:p w:rsidR="0064275F" w:rsidRDefault="0064275F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83A" w:rsidRPr="00731FC3" w:rsidRDefault="0064275F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В 1943 году А.Т. Твардовский так писал о Финской войне: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большой войны жестокой,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 чего - ума не приложу, -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Мне жалко той судьбы далёкой,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будто мёртвый, одинокий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будто это я лежу,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Примёрзший, маленький, убитый,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той войне незнаменитой.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Забытый, маленький лежу.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в стихотворении характеризуют эту войну?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Пленные финны возвращались на Родину как герои, они получили ордена и награды. Но самой большой наградой было признание соотечественников их заслуг перед страной, за свободу которой они сражались и, сражаясь, попали в плен.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 другая участь ожидала советских военнопленных. Решением Политбюро за подписью Сталина, все пленные (4354 человека) направлялись в лагеря Н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КВД ср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оком от 5 до 8 лет, 232 человека были расстреляны.</w:t>
      </w:r>
    </w:p>
    <w:p w:rsidR="0064275F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Подведя итоги советско-финляндской войны, какой </w:t>
      </w:r>
      <w:r w:rsidRPr="0073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сделать о состоянии боеготовности Советского Союза?</w:t>
      </w:r>
    </w:p>
    <w:p w:rsidR="00F7783A" w:rsidRPr="00731FC3" w:rsidRDefault="0064275F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 </w:t>
      </w:r>
      <w:proofErr w:type="gramEnd"/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к войне была не готова, необходимо было укреплять обороноспособность; - был нанесён серьёзный ущерб международному престижу СССР, он был исключён из Лиги Наций).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Обобщение по теме урока.</w:t>
      </w:r>
    </w:p>
    <w:p w:rsidR="0064275F" w:rsidRPr="00731FC3" w:rsidRDefault="0064275F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совместно с учащимися подводят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итоги</w:t>
      </w:r>
      <w:r w:rsidR="00F7783A"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783A" w:rsidRPr="00731FC3" w:rsidRDefault="00F7783A" w:rsidP="00731F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1939 — 1940 гг. СССР удалось присоединить большинство территории бывшей Российской империи, </w:t>
      </w:r>
      <w:proofErr w:type="gramStart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утраченных</w:t>
      </w:r>
      <w:proofErr w:type="gramEnd"/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1 мировой войны;</w:t>
      </w:r>
    </w:p>
    <w:p w:rsidR="00F7783A" w:rsidRPr="00731FC3" w:rsidRDefault="00F7783A" w:rsidP="00731F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предпринятые меры по укреплению обороноспособности страны оказались недостаточными;</w:t>
      </w:r>
    </w:p>
    <w:p w:rsidR="00F7783A" w:rsidRPr="00731FC3" w:rsidRDefault="00F7783A" w:rsidP="00731F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не мог всесторонне подготовиться к отражению агрессии гитлеровской Германии.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Д/</w:t>
      </w:r>
      <w:proofErr w:type="gramStart"/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</w:p>
    <w:p w:rsidR="0064275F" w:rsidRDefault="0064275F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 оценок.</w:t>
      </w:r>
    </w:p>
    <w:p w:rsidR="00F7783A" w:rsidRPr="00731FC3" w:rsidRDefault="00F7783A" w:rsidP="00731F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Эссе «Был ли СССР готов к войне?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Сообщение учащегося: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советских войск – 760 тыс. человек, финских войск – 325 тыс. человек.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Но только за первые 5 дней боев финны уничтожили около 80 советских танков. Но к главной оборонительной полосе – «линии Маннергейма» - им удалось подойти лишь к 10 декабря</w:t>
      </w:r>
      <w:r w:rsidRPr="00731FC3">
        <w:rPr>
          <w:rFonts w:ascii="Times New Roman" w:eastAsia="Times New Roman" w:hAnsi="Times New Roman" w:cs="Times New Roman"/>
          <w:color w:val="FF0000"/>
          <w:sz w:val="24"/>
          <w:szCs w:val="24"/>
        </w:rPr>
        <w:t>. Линия «Маннергейма»</w:t>
      </w: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финские оборонительные укрепления на Карельском полуострове протяженностью до 135 км, насчитывающие десятки дотов и дзотов, сотни километров траншей, тысячи бетонных и каменных противотанковых надолбов.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Финские солдаты, грамотно обученные отличались не только железной дисциплиной, но и высоким боевым духом. Советскому солдату боевого духа тоже было не занимать, но этого явно было не достаточно.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говорить о личном боевом оружии, то здесь сравнение также было не в пользу красноармейцев. Большинство из них были вооружены устаревшей еще в гражданскую войну «трехлинейками» - винтовкой со скользящим затвором образца 1891 года.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Из всего имеющегося стрелкового оружия с наилучшей стороны показал себя ручной пулемет Дегтярева. Финны же были вооружены отличными скорострельными 9-милимитровыми пистолетами-пулеметами «Суоми», помимо них в достаточном количестве имелись ручные пулеметы. Финны для более эффективной маскировки обматывали свои автоматы и пулеметы марлей или бинтами, чему красноармейцы научились далеко не сразу. Финны были несравнимо лучше экипированы. В отличие от зимнего маскхалата-балахона  советских солдат, финское обмундирование было раздельным – маскировочная белая куртка и штаны, обеспечивающие большую подвижность и маневренность. К тому же и куртка и штаны были сшиты из материала, не пропускающего влагу. Что касается обуви, то финские солдаты были снабжены кожаными сапогами на резиновой подошве и с мехом внутри. В 40 градусный мороз красноармейцы были одеты в становившуюся от холода «Колом» шинель, кирзовые или фетровые сапоги и буденовку, также не дававшую необходимого тепла.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одним козырем финнов была лыжная подготовка, финны умели ползать по-пластунски, не снимая лыж и даже взбираться в них на деревья.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тяжелые и кровопролитные бои развернулись на Карельском перешейке, где 7-я армия безуспешно завязла на линии финских укреплений.</w:t>
      </w:r>
    </w:p>
    <w:p w:rsidR="00F7783A" w:rsidRPr="00731FC3" w:rsidRDefault="00F7783A" w:rsidP="00F7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FC3">
        <w:rPr>
          <w:rFonts w:ascii="Times New Roman" w:eastAsia="Times New Roman" w:hAnsi="Times New Roman" w:cs="Times New Roman"/>
          <w:color w:val="000000"/>
          <w:sz w:val="24"/>
          <w:szCs w:val="24"/>
        </w:rPr>
        <w:t>11 февраля 1940 г. начался второй, заключительный этап войны. На Карельском перешейке были сосредоточены 2 армии, усиленные авиацией, артиллерийскими, танковыми и инженерными частями. После перегруппировки 7-я и 13-я армии  28 февраля перешли в наступление. Артиллерийская подготовка длилась практически без перерыва 2 часа 20 минут, в результате чего передний край финской обороны был просто сметен. Когда же в атаку двинулись советская пехота и танки, наши артиллеристы применили еще одну новинку – «огневой вал», под прикрытием которого наступали войска. И к 5 марта  бои завязались на подступах к Выборгу.</w:t>
      </w: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731FC3" w:rsidRDefault="00F7783A" w:rsidP="00F7783A">
      <w:pPr>
        <w:spacing w:after="0" w:line="240" w:lineRule="auto"/>
        <w:ind w:firstLine="708"/>
        <w:jc w:val="center"/>
        <w:rPr>
          <w:rFonts w:eastAsia="Times New Roman" w:cs="Arial"/>
          <w:b/>
          <w:bCs/>
          <w:color w:val="000000"/>
          <w:sz w:val="36"/>
          <w:u w:val="single"/>
        </w:rPr>
      </w:pPr>
    </w:p>
    <w:p w:rsidR="00F7783A" w:rsidRPr="00F7783A" w:rsidRDefault="00F7783A" w:rsidP="00F7783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b/>
          <w:bCs/>
          <w:color w:val="000000"/>
          <w:sz w:val="36"/>
          <w:u w:val="single"/>
        </w:rPr>
        <w:t>Рабочий лист.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</w:rPr>
        <w:lastRenderedPageBreak/>
        <w:t>Тема урока: </w:t>
      </w:r>
      <w:r w:rsidRPr="00F7783A">
        <w:rPr>
          <w:rFonts w:ascii="Liberation Serif" w:eastAsia="Times New Roman" w:hAnsi="Liberation Serif" w:cs="Arial"/>
          <w:b/>
          <w:bCs/>
          <w:color w:val="000000"/>
          <w:sz w:val="28"/>
        </w:rPr>
        <w:t>СССР накануне Великой Отечественной войны.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1. Подготовка СССР к войне.</w:t>
      </w:r>
    </w:p>
    <w:p w:rsidR="00F7783A" w:rsidRPr="00F7783A" w:rsidRDefault="00F7783A" w:rsidP="00F7783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Основные направления</w:t>
      </w:r>
    </w:p>
    <w:tbl>
      <w:tblPr>
        <w:tblW w:w="9309" w:type="dxa"/>
        <w:tblCellMar>
          <w:left w:w="0" w:type="dxa"/>
          <w:right w:w="0" w:type="dxa"/>
        </w:tblCellMar>
        <w:tblLook w:val="04A0"/>
      </w:tblPr>
      <w:tblGrid>
        <w:gridCol w:w="4654"/>
        <w:gridCol w:w="4655"/>
      </w:tblGrid>
      <w:tr w:rsidR="00F7783A" w:rsidRPr="00F7783A" w:rsidTr="00F7783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baac10acc5168eab663f399a3b44fd50cf4c5a1a"/>
            <w:bookmarkStart w:id="1" w:name="0"/>
            <w:bookmarkEnd w:id="0"/>
            <w:bookmarkEnd w:id="1"/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:rsidR="00F7783A" w:rsidRPr="00F7783A" w:rsidRDefault="00F7783A" w:rsidP="00F77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327c66b67119a29cc8533d743670b56371485ac6"/>
      <w:bookmarkStart w:id="3" w:name="1"/>
      <w:bookmarkEnd w:id="2"/>
      <w:bookmarkEnd w:id="3"/>
    </w:p>
    <w:tbl>
      <w:tblPr>
        <w:tblW w:w="9309" w:type="dxa"/>
        <w:tblCellMar>
          <w:left w:w="0" w:type="dxa"/>
          <w:right w:w="0" w:type="dxa"/>
        </w:tblCellMar>
        <w:tblLook w:val="04A0"/>
      </w:tblPr>
      <w:tblGrid>
        <w:gridCol w:w="4654"/>
        <w:gridCol w:w="4655"/>
      </w:tblGrid>
      <w:tr w:rsidR="00F7783A" w:rsidRPr="00F7783A" w:rsidTr="00F7783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1.</w:t>
            </w:r>
          </w:p>
        </w:tc>
      </w:tr>
    </w:tbl>
    <w:p w:rsidR="00F7783A" w:rsidRPr="00F7783A" w:rsidRDefault="00F7783A" w:rsidP="00F77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af93931a718df3a817e749a4fe1357b114b28ce0"/>
      <w:bookmarkStart w:id="5" w:name="2"/>
      <w:bookmarkEnd w:id="4"/>
      <w:bookmarkEnd w:id="5"/>
    </w:p>
    <w:tbl>
      <w:tblPr>
        <w:tblW w:w="9309" w:type="dxa"/>
        <w:tblCellMar>
          <w:left w:w="0" w:type="dxa"/>
          <w:right w:w="0" w:type="dxa"/>
        </w:tblCellMar>
        <w:tblLook w:val="04A0"/>
      </w:tblPr>
      <w:tblGrid>
        <w:gridCol w:w="4654"/>
        <w:gridCol w:w="4655"/>
      </w:tblGrid>
      <w:tr w:rsidR="00F7783A" w:rsidRPr="00F7783A" w:rsidTr="00F7783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2.</w:t>
            </w:r>
          </w:p>
        </w:tc>
      </w:tr>
    </w:tbl>
    <w:p w:rsidR="00F7783A" w:rsidRPr="00F7783A" w:rsidRDefault="00F7783A" w:rsidP="00F778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1f462a48904d85d0cc7a86498c5d9ba80406eee9"/>
      <w:bookmarkStart w:id="7" w:name="3"/>
      <w:bookmarkEnd w:id="6"/>
      <w:bookmarkEnd w:id="7"/>
    </w:p>
    <w:tbl>
      <w:tblPr>
        <w:tblW w:w="9309" w:type="dxa"/>
        <w:tblCellMar>
          <w:left w:w="0" w:type="dxa"/>
          <w:right w:w="0" w:type="dxa"/>
        </w:tblCellMar>
        <w:tblLook w:val="04A0"/>
      </w:tblPr>
      <w:tblGrid>
        <w:gridCol w:w="4734"/>
        <w:gridCol w:w="4575"/>
      </w:tblGrid>
      <w:tr w:rsidR="00F7783A" w:rsidRPr="00F7783A" w:rsidTr="00731FC3"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783A" w:rsidRPr="00F7783A" w:rsidRDefault="00F7783A" w:rsidP="00F7783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7783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3.</w:t>
            </w:r>
          </w:p>
        </w:tc>
      </w:tr>
    </w:tbl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2. Расширение территории СССР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Какую политику проводило правительство СССР на этих территориях?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  <w:u w:val="single"/>
        </w:rPr>
        <w:t>1 группа:</w:t>
      </w: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 Прибалтика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  <w:u w:val="single"/>
        </w:rPr>
        <w:t>2 группа:</w:t>
      </w: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 Бессарабия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1________________________________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2________________________________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3________________________________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4________________________________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3. Война с Финляндией.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  <w:u w:val="single"/>
        </w:rPr>
        <w:t>План: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1.Причины войны.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2.Основные события.</w:t>
      </w:r>
    </w:p>
    <w:p w:rsidR="00F7783A" w:rsidRPr="00F7783A" w:rsidRDefault="00F7783A" w:rsidP="00F7783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7783A">
        <w:rPr>
          <w:rFonts w:ascii="Liberation Serif" w:eastAsia="Times New Roman" w:hAnsi="Liberation Serif" w:cs="Arial"/>
          <w:color w:val="000000"/>
          <w:sz w:val="24"/>
          <w:szCs w:val="24"/>
        </w:rPr>
        <w:t>3.Итоги войны</w:t>
      </w:r>
    </w:p>
    <w:p w:rsidR="00C73700" w:rsidRDefault="00C73700"/>
    <w:sectPr w:rsidR="00C73700" w:rsidSect="00E5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7A7"/>
    <w:multiLevelType w:val="multilevel"/>
    <w:tmpl w:val="BE1A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>
    <w:useFELayout/>
  </w:compat>
  <w:rsids>
    <w:rsidRoot w:val="00F7783A"/>
    <w:rsid w:val="00575D80"/>
    <w:rsid w:val="0064275F"/>
    <w:rsid w:val="00731FC3"/>
    <w:rsid w:val="00C73700"/>
    <w:rsid w:val="00E555F2"/>
    <w:rsid w:val="00F7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783A"/>
  </w:style>
  <w:style w:type="character" w:customStyle="1" w:styleId="apple-converted-space">
    <w:name w:val="apple-converted-space"/>
    <w:basedOn w:val="a0"/>
    <w:rsid w:val="00F7783A"/>
  </w:style>
  <w:style w:type="character" w:customStyle="1" w:styleId="c18">
    <w:name w:val="c18"/>
    <w:basedOn w:val="a0"/>
    <w:rsid w:val="00F7783A"/>
  </w:style>
  <w:style w:type="character" w:styleId="a3">
    <w:name w:val="Hyperlink"/>
    <w:basedOn w:val="a0"/>
    <w:uiPriority w:val="99"/>
    <w:semiHidden/>
    <w:unhideWhenUsed/>
    <w:rsid w:val="00F7783A"/>
    <w:rPr>
      <w:color w:val="0000FF"/>
      <w:u w:val="single"/>
    </w:rPr>
  </w:style>
  <w:style w:type="character" w:customStyle="1" w:styleId="c11">
    <w:name w:val="c11"/>
    <w:basedOn w:val="a0"/>
    <w:rsid w:val="00F7783A"/>
  </w:style>
  <w:style w:type="paragraph" w:customStyle="1" w:styleId="c3">
    <w:name w:val="c3"/>
    <w:basedOn w:val="a"/>
    <w:rsid w:val="00F7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4238/sovetskiy-soyuz-nakanune-velikoy-otechestvennoy-voyn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14238/sovetskiy-soyuz-nakanune-velikoy-otechestvennoy-voy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stmat.info/%D0%BC%D0%B8%D1%84:%D1%81%D0%BE%D0%B2%D0%BC%D0%B5%D1%81%D1%82%D0%BD%D1%8B%D0%B9_%D0%BF%D0%B0%D1%80%D0%B0%D0%B4_%D0%B2_%D0%B1%D1%80%D0%B5%D1%81%D1%82%D0%B5" TargetMode="External"/><Relationship Id="rId5" Type="http://schemas.openxmlformats.org/officeDocument/2006/relationships/hyperlink" Target="http://fcior.edu.ru/card/14238/sovetskiy-soyuz-nakanune-velikoy-otechestvennoy-voyn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</cp:revision>
  <dcterms:created xsi:type="dcterms:W3CDTF">2013-09-24T04:54:00Z</dcterms:created>
  <dcterms:modified xsi:type="dcterms:W3CDTF">2014-04-05T09:43:00Z</dcterms:modified>
</cp:coreProperties>
</file>