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4E" w:rsidRDefault="00A81B4E">
      <w:pPr>
        <w:rPr>
          <w:sz w:val="56"/>
          <w:szCs w:val="56"/>
        </w:rPr>
      </w:pPr>
    </w:p>
    <w:p w:rsidR="007A07A1" w:rsidRDefault="007A07A1">
      <w:pPr>
        <w:rPr>
          <w:sz w:val="56"/>
          <w:szCs w:val="56"/>
        </w:rPr>
      </w:pPr>
    </w:p>
    <w:p w:rsidR="007A07A1" w:rsidRDefault="007A07A1">
      <w:pPr>
        <w:rPr>
          <w:sz w:val="56"/>
          <w:szCs w:val="56"/>
        </w:rPr>
      </w:pPr>
    </w:p>
    <w:p w:rsidR="007A07A1" w:rsidRDefault="007A07A1" w:rsidP="007A07A1">
      <w:pPr>
        <w:rPr>
          <w:sz w:val="56"/>
          <w:szCs w:val="56"/>
        </w:rPr>
      </w:pPr>
    </w:p>
    <w:p w:rsidR="007A07A1" w:rsidRDefault="007A07A1">
      <w:pPr>
        <w:rPr>
          <w:sz w:val="56"/>
          <w:szCs w:val="56"/>
        </w:rPr>
      </w:pPr>
    </w:p>
    <w:p w:rsidR="007A07A1" w:rsidRDefault="007A07A1" w:rsidP="007A07A1">
      <w:pPr>
        <w:jc w:val="center"/>
        <w:rPr>
          <w:sz w:val="56"/>
          <w:szCs w:val="56"/>
        </w:rPr>
      </w:pPr>
      <w:r>
        <w:rPr>
          <w:sz w:val="56"/>
          <w:szCs w:val="56"/>
        </w:rPr>
        <w:t>Методы и приемы педагогической поддержки детей в процессе развития познавательной сферы на этапе подготовки детей к школе</w:t>
      </w:r>
    </w:p>
    <w:p w:rsidR="007A07A1" w:rsidRDefault="007A07A1" w:rsidP="007A07A1">
      <w:pPr>
        <w:jc w:val="center"/>
        <w:rPr>
          <w:sz w:val="56"/>
          <w:szCs w:val="56"/>
        </w:rPr>
      </w:pPr>
    </w:p>
    <w:p w:rsidR="007A07A1" w:rsidRDefault="007A07A1" w:rsidP="007A07A1">
      <w:pPr>
        <w:jc w:val="center"/>
        <w:rPr>
          <w:sz w:val="56"/>
          <w:szCs w:val="56"/>
        </w:rPr>
      </w:pPr>
    </w:p>
    <w:p w:rsidR="007A07A1" w:rsidRDefault="007A07A1" w:rsidP="007A07A1">
      <w:pPr>
        <w:jc w:val="center"/>
        <w:rPr>
          <w:sz w:val="56"/>
          <w:szCs w:val="56"/>
        </w:rPr>
      </w:pPr>
    </w:p>
    <w:p w:rsidR="007A07A1" w:rsidRDefault="007A07A1" w:rsidP="007A07A1">
      <w:pPr>
        <w:jc w:val="center"/>
        <w:rPr>
          <w:sz w:val="56"/>
          <w:szCs w:val="56"/>
        </w:rPr>
      </w:pPr>
    </w:p>
    <w:p w:rsidR="006A3D65" w:rsidRDefault="006A3D65" w:rsidP="002148C2">
      <w:pPr>
        <w:rPr>
          <w:sz w:val="56"/>
          <w:szCs w:val="56"/>
        </w:rPr>
      </w:pPr>
    </w:p>
    <w:p w:rsidR="007A07A1" w:rsidRDefault="007A07A1" w:rsidP="007A07A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Воспитатель 1 логопедической группы</w:t>
      </w:r>
    </w:p>
    <w:p w:rsidR="007A07A1" w:rsidRDefault="007A07A1" w:rsidP="007A07A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</w:t>
      </w:r>
      <w:r w:rsidR="002148C2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Федотова М.А.</w:t>
      </w:r>
    </w:p>
    <w:p w:rsidR="006A3D65" w:rsidRDefault="006A3D65" w:rsidP="007A07A1">
      <w:pPr>
        <w:rPr>
          <w:sz w:val="36"/>
          <w:szCs w:val="36"/>
        </w:rPr>
      </w:pPr>
    </w:p>
    <w:p w:rsidR="007A07A1" w:rsidRDefault="00646BCB" w:rsidP="00646BCB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Готовность ребенка вступить в новые отношения с обществом в конце дошкольного возраста находит свое выражение в готовности к школьному обучению. Выделяют следующие компоненты психологической готовности:</w:t>
      </w:r>
    </w:p>
    <w:p w:rsidR="00646BCB" w:rsidRDefault="00646BCB" w:rsidP="00646BCB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- Личностная готовность к школьному обучению включает стремление ребенка к новой социальной позиции школьника.</w:t>
      </w:r>
    </w:p>
    <w:p w:rsidR="00646BCB" w:rsidRDefault="00646BCB" w:rsidP="00646BCB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-   Эмоционально-волевая готовность к школе отражается в развитии произвольного поведения.</w:t>
      </w:r>
    </w:p>
    <w:p w:rsidR="00646BCB" w:rsidRDefault="00646BCB" w:rsidP="00646BCB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-   Интеллектуальная готовность к школьному обучению</w:t>
      </w:r>
      <w:r w:rsidR="006E3A50">
        <w:rPr>
          <w:sz w:val="36"/>
          <w:szCs w:val="36"/>
        </w:rPr>
        <w:t xml:space="preserve"> связана с развитием мыслительных процессов: способностью обобщать, сравнивать объекты, классифицировать их, выделять существенные признаки, определять причинно-следственные зависимости, делать выводы. У ребенка должны быть определенная широта </w:t>
      </w:r>
      <w:r w:rsidR="0035076C">
        <w:rPr>
          <w:sz w:val="36"/>
          <w:szCs w:val="36"/>
        </w:rPr>
        <w:t>представлений, в том числе образных и пространственных, соответствующее речевое развитие, познавательная активность. Интеллектуальная готовность также предполагает формирование у ребенка начальных умений в области учебной деятельности, в частности, умение выделить учебную задачу и превратить ее в самостоятельную цель деятельности. В целом, развитие интеллектуальной готовности к школе предпола</w:t>
      </w:r>
      <w:r w:rsidR="00213F25">
        <w:rPr>
          <w:sz w:val="36"/>
          <w:szCs w:val="36"/>
        </w:rPr>
        <w:t>г</w:t>
      </w:r>
      <w:r w:rsidR="0035076C">
        <w:rPr>
          <w:sz w:val="36"/>
          <w:szCs w:val="36"/>
        </w:rPr>
        <w:t>ает</w:t>
      </w:r>
      <w:r w:rsidR="00213F25">
        <w:rPr>
          <w:sz w:val="36"/>
          <w:szCs w:val="36"/>
        </w:rPr>
        <w:t>: дифференцированное восприятие; аналитическое мышление; рациональный подход к действительности; логическое запоминание; интерес к знаниям, к процессу их получения за счет дополнительных усилий; овладение на слух разговорной речью и способность к пониманию и применению символов; развитие тонких движений руки и зрительно двигательных координаций.</w:t>
      </w:r>
    </w:p>
    <w:p w:rsidR="00213F25" w:rsidRDefault="00213F25" w:rsidP="00646BCB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Но у детей с ОНР, которые посещают нашу логопедическую группу</w:t>
      </w:r>
      <w:r w:rsidR="007F6AE0">
        <w:rPr>
          <w:sz w:val="36"/>
          <w:szCs w:val="36"/>
        </w:rPr>
        <w:t>, по сравнению с возрастной нормой наблюдается снижение познавательной деятельности: недостаточная концентрация и устойчивость внимания, меньший объем запоминания и воспроизведения материала, снижение уровня обобщения и осмысления действительности, пространственные трудности; слабость в развитии моторики, недостаточная сформированность мотивационной сферы. Со стороны эмоционально-волевой сферы также имеет место ряд особенностей: повышенная возбудимость, раздражительность или общая заторможенность, замкнутость, обидчивость, плаксивость, многократная смена настроения  и др.</w:t>
      </w:r>
    </w:p>
    <w:p w:rsidR="00DC486B" w:rsidRDefault="006168C3" w:rsidP="00646BCB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15165B">
        <w:rPr>
          <w:sz w:val="36"/>
          <w:szCs w:val="36"/>
        </w:rPr>
        <w:t>Поэтому, дети – логопаты  входят в контингент риска: риска испытать наибольшие трудности в школе, риска неуспеваемости, риска заболеть от чрезмерных нагрузок и переутомления. Именно поэтому такие дети требуют особого подхода и особого внимания воспитателя.</w:t>
      </w:r>
      <w:r w:rsidR="00F62270">
        <w:rPr>
          <w:sz w:val="36"/>
          <w:szCs w:val="36"/>
        </w:rPr>
        <w:t xml:space="preserve"> По данной категории детей необходима организация особой системы работы, которая должна в наибольшей степени учитывать особенности и проблемы детей с ОНР и обеспечить их эффективное развитие. </w:t>
      </w:r>
      <w:r w:rsidR="00406FF2">
        <w:rPr>
          <w:sz w:val="36"/>
          <w:szCs w:val="36"/>
        </w:rPr>
        <w:t xml:space="preserve"> Психокоррекционная работа с такими детьми включает комплекс </w:t>
      </w:r>
      <w:r w:rsidR="005A2C09">
        <w:rPr>
          <w:sz w:val="36"/>
          <w:szCs w:val="36"/>
        </w:rPr>
        <w:t xml:space="preserve">мероприятий. </w:t>
      </w:r>
      <w:r w:rsidR="003B19BA">
        <w:rPr>
          <w:sz w:val="36"/>
          <w:szCs w:val="36"/>
        </w:rPr>
        <w:t>Но, считаю, что</w:t>
      </w:r>
      <w:r w:rsidR="005A2C09">
        <w:rPr>
          <w:sz w:val="36"/>
          <w:szCs w:val="36"/>
        </w:rPr>
        <w:t xml:space="preserve"> огромное значение </w:t>
      </w:r>
      <w:r w:rsidR="001C4BAE">
        <w:rPr>
          <w:sz w:val="36"/>
          <w:szCs w:val="36"/>
        </w:rPr>
        <w:t xml:space="preserve">в процессе развития познавательной сферы </w:t>
      </w:r>
      <w:r w:rsidR="005A2C09">
        <w:rPr>
          <w:sz w:val="36"/>
          <w:szCs w:val="36"/>
        </w:rPr>
        <w:t>имеет тактика педагогической поддержки детей</w:t>
      </w:r>
      <w:r w:rsidR="001C4BAE">
        <w:rPr>
          <w:sz w:val="36"/>
          <w:szCs w:val="36"/>
        </w:rPr>
        <w:t>. Эта</w:t>
      </w:r>
      <w:r w:rsidR="00DC486B">
        <w:rPr>
          <w:sz w:val="36"/>
          <w:szCs w:val="36"/>
        </w:rPr>
        <w:t xml:space="preserve"> деятельность предполагает индивидуально-ориентированную помощь детям в развитии как общих, так и специальных способностей.</w:t>
      </w:r>
    </w:p>
    <w:p w:rsidR="00DC486B" w:rsidRDefault="00DC486B" w:rsidP="00646BCB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В своей работе с детьми использую наиболее приемлемые тактики педагогической поддержки развития детей: тактику помощи и тактику содействия.</w:t>
      </w:r>
    </w:p>
    <w:p w:rsidR="006168C3" w:rsidRDefault="00DC486B" w:rsidP="00646BCB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Тактика помощи рассчитана на то, чтоб ребенок </w:t>
      </w:r>
      <w:r w:rsidR="005A2C09">
        <w:rPr>
          <w:sz w:val="36"/>
          <w:szCs w:val="36"/>
        </w:rPr>
        <w:t xml:space="preserve"> </w:t>
      </w:r>
      <w:r>
        <w:rPr>
          <w:sz w:val="36"/>
          <w:szCs w:val="36"/>
        </w:rPr>
        <w:t>обязательно начал действовать, но для того, чтобы он сделал это добровольно, ему необходимо «узнать вкус успеха»</w:t>
      </w:r>
      <w:r w:rsidR="00061670">
        <w:rPr>
          <w:sz w:val="36"/>
          <w:szCs w:val="36"/>
        </w:rPr>
        <w:t>. Многие дети защищаются от проблемы, блокируя сою активность. Такому ребенку важно помочь осознать, что он многое может! Стоит только попробовать преодолеть свой страх. Успех первой пробы должен быть гарантирован. Разочарование в себе может укрепить страх перед действием. А педагог, оказывая помощь, страхует ребенка от этого разочарования.  «Помощь» восстанавливает и укрепляет у ребенка ощущение собственной значимости</w:t>
      </w:r>
      <w:r w:rsidR="00A43FA8">
        <w:rPr>
          <w:sz w:val="36"/>
          <w:szCs w:val="36"/>
        </w:rPr>
        <w:t xml:space="preserve"> для других людей.</w:t>
      </w:r>
    </w:p>
    <w:p w:rsidR="00A43FA8" w:rsidRDefault="00A43FA8" w:rsidP="00646BCB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Кредо тактики «содействия»: «Ты всегда можешь совершить выбор – попробуй проверить себя!». Главным условием тактики является стабильное эмоциональное состояние ребенка, самооценка не занижена. В тактике содействия создаешь условия для того, чтобы ребенок вовлекался в процесс осмысления намерений, интересуешься  мнением ребенка к отношени</w:t>
      </w:r>
      <w:r w:rsidR="00FA1053">
        <w:rPr>
          <w:sz w:val="36"/>
          <w:szCs w:val="36"/>
        </w:rPr>
        <w:t>ям</w:t>
      </w:r>
      <w:r>
        <w:rPr>
          <w:sz w:val="36"/>
          <w:szCs w:val="36"/>
        </w:rPr>
        <w:t xml:space="preserve"> к происходящему, </w:t>
      </w:r>
      <w:r w:rsidR="00FA1053">
        <w:rPr>
          <w:sz w:val="36"/>
          <w:szCs w:val="36"/>
        </w:rPr>
        <w:t>расширяешь возможности выбора, предлагая новые варианты, не знакомые ребенку.  В тактике содействия  постоянно находишься с ребенком в диалоге, вместе размышляя, добиваясь до сути. Эта тактика развивает критические и аналитические способности ребенка, который учится осознавать то, что проблема может иметь как минимум 2 варианта решения.</w:t>
      </w:r>
    </w:p>
    <w:p w:rsidR="005D2E11" w:rsidRDefault="005D2E11" w:rsidP="00646BCB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Методы педагогической поддержки используются тогда, когда у ребенка с одной стороны, возникают препятствия, проблемы, </w:t>
      </w:r>
      <w:r w:rsidR="002148C2">
        <w:rPr>
          <w:sz w:val="36"/>
          <w:szCs w:val="36"/>
        </w:rPr>
        <w:t>которые он осознает, но не знает</w:t>
      </w:r>
      <w:r w:rsidR="003658D7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 как их решить, с другой стороны, они действуют как меры, помогающие ребенку не создават</w:t>
      </w:r>
      <w:r w:rsidR="009969DB">
        <w:rPr>
          <w:sz w:val="36"/>
          <w:szCs w:val="36"/>
        </w:rPr>
        <w:t>ь проблем или уметь их решать. Таковыми являются:</w:t>
      </w:r>
    </w:p>
    <w:p w:rsidR="009969DB" w:rsidRDefault="009969DB" w:rsidP="00646BCB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1.  Методы поддержки развития аналитико-рефлексивных способностей (метод наблюдения, метод коллективного анализа деятельности, размышления);</w:t>
      </w:r>
    </w:p>
    <w:p w:rsidR="009969DB" w:rsidRDefault="009969DB" w:rsidP="00646BCB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2.</w:t>
      </w:r>
      <w:r w:rsidR="00917C88">
        <w:rPr>
          <w:sz w:val="36"/>
          <w:szCs w:val="36"/>
        </w:rPr>
        <w:t xml:space="preserve"> </w:t>
      </w:r>
      <w:r>
        <w:rPr>
          <w:sz w:val="36"/>
          <w:szCs w:val="36"/>
        </w:rPr>
        <w:t>Методы поддержки развития интеллектуальных способностей (метод «деловой игры», метод развития интуиции, метод психотренинга, метод мозгового штурма, метод беседы</w:t>
      </w:r>
      <w:r w:rsidR="00917C88">
        <w:rPr>
          <w:sz w:val="36"/>
          <w:szCs w:val="36"/>
        </w:rPr>
        <w:t>);</w:t>
      </w:r>
    </w:p>
    <w:p w:rsidR="00917C88" w:rsidRDefault="00917C88" w:rsidP="00646BCB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3. Методы поддержки развития организаторских способностей (метод игры, метод упражнения, метод «творческого выполнения задач»);</w:t>
      </w:r>
    </w:p>
    <w:p w:rsidR="00917C88" w:rsidRDefault="00917C88" w:rsidP="00646BCB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4. Методы поддержки развития коммуникативных способностей (ролевые игры, метод творческого поиска).</w:t>
      </w:r>
    </w:p>
    <w:p w:rsidR="00917C88" w:rsidRDefault="00917C88" w:rsidP="00646BCB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Главное в деятельности (совместной и самостоятельной) –</w:t>
      </w:r>
      <w:r w:rsidR="00C2531A">
        <w:rPr>
          <w:sz w:val="36"/>
          <w:szCs w:val="36"/>
        </w:rPr>
        <w:t xml:space="preserve"> ребенок</w:t>
      </w:r>
      <w:r>
        <w:rPr>
          <w:sz w:val="36"/>
          <w:szCs w:val="36"/>
        </w:rPr>
        <w:t>, а воспитатель направляет его деятельность.</w:t>
      </w:r>
    </w:p>
    <w:p w:rsidR="00917C88" w:rsidRDefault="00917C88" w:rsidP="00646BCB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Использую следующие приемы обучения:</w:t>
      </w:r>
    </w:p>
    <w:p w:rsidR="00D854AA" w:rsidRDefault="00917C88" w:rsidP="00646BCB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-</w:t>
      </w:r>
      <w:r w:rsidR="00D854AA">
        <w:rPr>
          <w:sz w:val="36"/>
          <w:szCs w:val="36"/>
        </w:rPr>
        <w:t xml:space="preserve"> ход познания (от ребят),</w:t>
      </w:r>
    </w:p>
    <w:p w:rsidR="00D854AA" w:rsidRDefault="00D854AA" w:rsidP="00646BCB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- начало должно быть необычным,</w:t>
      </w:r>
    </w:p>
    <w:p w:rsidR="00213F25" w:rsidRDefault="00D854AA" w:rsidP="00646BCB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-  держать паузу, не мешая включению мыслительных процессов у детей,</w:t>
      </w:r>
    </w:p>
    <w:p w:rsidR="00D854AA" w:rsidRDefault="00D854AA" w:rsidP="00646BCB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- не оставлять без внимания ни одного ответа детей,</w:t>
      </w:r>
    </w:p>
    <w:p w:rsidR="00D854AA" w:rsidRDefault="00D854AA" w:rsidP="00646BCB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- помнить о развитии речи во всех видах деятельности,</w:t>
      </w:r>
    </w:p>
    <w:p w:rsidR="00D854AA" w:rsidRDefault="00D854AA" w:rsidP="00646BCB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- поддерживать ощущение успешности,</w:t>
      </w:r>
    </w:p>
    <w:p w:rsidR="00D854AA" w:rsidRDefault="00D854AA" w:rsidP="00646BCB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- осуществление работы в творческих тетрадях.</w:t>
      </w:r>
    </w:p>
    <w:p w:rsidR="00AC2D4D" w:rsidRDefault="00AC2D4D" w:rsidP="00646BCB">
      <w:pPr>
        <w:spacing w:line="240" w:lineRule="auto"/>
        <w:jc w:val="both"/>
        <w:rPr>
          <w:sz w:val="36"/>
          <w:szCs w:val="36"/>
        </w:rPr>
      </w:pPr>
    </w:p>
    <w:p w:rsidR="00AC2D4D" w:rsidRDefault="00AC2D4D" w:rsidP="00646BCB">
      <w:pPr>
        <w:spacing w:line="240" w:lineRule="auto"/>
        <w:jc w:val="both"/>
        <w:rPr>
          <w:sz w:val="36"/>
          <w:szCs w:val="36"/>
        </w:rPr>
      </w:pPr>
    </w:p>
    <w:p w:rsidR="00AC2D4D" w:rsidRDefault="00AC2D4D" w:rsidP="00646BCB">
      <w:pPr>
        <w:spacing w:line="240" w:lineRule="auto"/>
        <w:jc w:val="both"/>
        <w:rPr>
          <w:sz w:val="36"/>
          <w:szCs w:val="36"/>
        </w:rPr>
      </w:pPr>
    </w:p>
    <w:p w:rsidR="00AC2D4D" w:rsidRDefault="00AC2D4D" w:rsidP="00646BCB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Эффективность  специальных занятий с детьми, имеющими нарушения речи, во многом определяется выбранными психокоррекционными приемами, играми, упражнениями.</w:t>
      </w:r>
    </w:p>
    <w:p w:rsidR="00AC2D4D" w:rsidRDefault="00AC2D4D" w:rsidP="00646BCB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При коррекции внимания необходимо развивать его особенности: устойчивость</w:t>
      </w:r>
      <w:r w:rsidR="00D06417">
        <w:rPr>
          <w:sz w:val="36"/>
          <w:szCs w:val="36"/>
        </w:rPr>
        <w:t>, переключаемость, распределение.  Использование специальных игровых упражнений («Что забыл нарисовать художник?», «Чем отличаются две пары картинок?», «Найди среди игрушек две одинаковые», «Что перепутал худож</w:t>
      </w:r>
      <w:r w:rsidR="007D214B">
        <w:rPr>
          <w:sz w:val="36"/>
          <w:szCs w:val="36"/>
        </w:rPr>
        <w:t>ник», «Найди 2-10 отличий» и т.</w:t>
      </w:r>
      <w:r w:rsidR="00D06417">
        <w:rPr>
          <w:sz w:val="36"/>
          <w:szCs w:val="36"/>
        </w:rPr>
        <w:t>п.) позволяет повысить уровень самостоятельности и наблюдательности, умение распределять и концентрировать внимание на соответствующих объектах.</w:t>
      </w:r>
    </w:p>
    <w:p w:rsidR="00A81B4E" w:rsidRDefault="00D06417" w:rsidP="00646BCB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Коррекция восприятия</w:t>
      </w:r>
      <w:r w:rsidR="00A81B4E">
        <w:rPr>
          <w:sz w:val="36"/>
          <w:szCs w:val="36"/>
        </w:rPr>
        <w:t xml:space="preserve"> проводится с помощью пособий («Почтовый ящик», «Разрезные картинки», «Эталоны»), собирания пазлов, мозаики, а также при проведении специальных дидактических игр. Все это развивает  у детей умение воспроизводить целостный образ предмета, умение соотносить предметы с сенсорными эталонами, выделяя их сходство и различие; умение ориентироваться в окружающей обстановке, выделяя главное в воспринимаемом.</w:t>
      </w:r>
    </w:p>
    <w:p w:rsidR="00E2254E" w:rsidRDefault="00A81B4E" w:rsidP="00646BCB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Память является одним из важнейших познавательных процессов. </w:t>
      </w:r>
      <w:r w:rsidR="007D214B">
        <w:rPr>
          <w:sz w:val="36"/>
          <w:szCs w:val="36"/>
        </w:rPr>
        <w:t xml:space="preserve">При проведении коррекционной работы использую игры («Чего не стало?», «Что изменилось?»,  «Нарисуй по памяти» и т.п.), тесты («Пиктограмма», «Десять слов», «Десять предметов» и др.), занимательные игры со словами и стихами, заучивание стихов и пересказ текстов. Это позволяет наращивать объем запоминаемой информации, время хранения данной информации, </w:t>
      </w:r>
      <w:r w:rsidR="007D214B">
        <w:rPr>
          <w:sz w:val="36"/>
          <w:szCs w:val="36"/>
        </w:rPr>
        <w:lastRenderedPageBreak/>
        <w:t>быстроту и точность запоминания, развива</w:t>
      </w:r>
      <w:r w:rsidR="00E2254E">
        <w:rPr>
          <w:sz w:val="36"/>
          <w:szCs w:val="36"/>
        </w:rPr>
        <w:t>ет у детей вербальную память.</w:t>
      </w:r>
    </w:p>
    <w:p w:rsidR="00D06417" w:rsidRDefault="00E2254E" w:rsidP="00646BCB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При коррекции мышления, для развития наглядно-действенного мышления использую игровые упражнения, например: «Собери пирамидку», «Построй башню» и т.д. Для развития наглядно-образного мышления применяю игры: «Найди недостающую деталь», «Кому какое угощение?», «Кто где живет?» и др. При формировании элементов словесно-логического мышления использую такие игры, как: «Четвертый </w:t>
      </w:r>
      <w:r w:rsidR="009567EC">
        <w:rPr>
          <w:sz w:val="36"/>
          <w:szCs w:val="36"/>
        </w:rPr>
        <w:t>лишний», «Овощи, фрукты, ягоды» (разложить по корзинам), «Кто (что) там?» (найти закономерность и нарисовать в пустых клетках недостающие фигуры), «Что перепутал художник?» и т.п.</w:t>
      </w:r>
    </w:p>
    <w:p w:rsidR="009567EC" w:rsidRDefault="009567EC" w:rsidP="00646BCB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Для развития воображения повышаю у детей познавательные интересы и мотивацию всех видов продуктивной деятельности, расширяю запас сведений об окружающем мире и обогащаю словарный запас.</w:t>
      </w:r>
    </w:p>
    <w:p w:rsidR="00C94ECA" w:rsidRDefault="009567EC" w:rsidP="00646BCB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В свете современных тенденций изучения взаимосвязи и взаимозависимости речевой и моторной деятельности </w:t>
      </w:r>
      <w:r w:rsidR="00C94ECA">
        <w:rPr>
          <w:sz w:val="36"/>
          <w:szCs w:val="36"/>
        </w:rPr>
        <w:t>большое внимание уделяю совершенствованию мелкой моторики у детей, используя разнообразные развивающие игры и упражнения. Помимо традиционной пальчиковой гимнастики широко использую модифицированные упражнения и игры с пальчиками:</w:t>
      </w:r>
    </w:p>
    <w:p w:rsidR="009567EC" w:rsidRDefault="00C94ECA" w:rsidP="00646BCB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- упражнения с грецкими орехами, каштанами, шестигранными карандашами</w:t>
      </w:r>
      <w:r w:rsidR="009567E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и т.п. (перекатывание их между </w:t>
      </w:r>
      <w:r w:rsidR="0068590C">
        <w:rPr>
          <w:sz w:val="36"/>
          <w:szCs w:val="36"/>
        </w:rPr>
        <w:t>ладонями);</w:t>
      </w:r>
    </w:p>
    <w:p w:rsidR="0068590C" w:rsidRDefault="0068590C" w:rsidP="00646BCB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- игры с текстильной резинкой (растягивание резинового колечка пальцами), поролоновыми и резиновыми мячами (сжимание их между ладонями, поочередное сжимание пальцами);</w:t>
      </w:r>
    </w:p>
    <w:p w:rsidR="0068590C" w:rsidRDefault="0068590C" w:rsidP="00646BCB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- «пальчиковый бассейн» (поиск мелких игрушек в емкости, наполненной горохом, фасолью);</w:t>
      </w:r>
    </w:p>
    <w:p w:rsidR="0068590C" w:rsidRDefault="0068590C" w:rsidP="00646BCB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- «разноцветные прищепки» (механическое сдавливание подушечек прищепками);</w:t>
      </w:r>
    </w:p>
    <w:p w:rsidR="0068590C" w:rsidRDefault="0068590C" w:rsidP="00646BCB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- различные виды массажа (самомассажа) кистей рук, пальцев.</w:t>
      </w:r>
    </w:p>
    <w:p w:rsidR="0068590C" w:rsidRDefault="0068590C" w:rsidP="00646BCB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Также использую различные игры с тестом , глиной, песком</w:t>
      </w:r>
      <w:r w:rsidR="00D23506">
        <w:rPr>
          <w:sz w:val="36"/>
          <w:szCs w:val="36"/>
        </w:rPr>
        <w:t>. Все эти игры не только развивают моторные навыки, но и стабилизируют эмоциональное состояние ребенка, что очень важно для наших детей.</w:t>
      </w:r>
    </w:p>
    <w:p w:rsidR="00D23506" w:rsidRDefault="00D23506" w:rsidP="00646BCB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В процессе всей психокоррекционной работы с детьми проводим работу по формированию речевой деятельности: развиваем потребность общения, его мотивационной стороны. Ребенка учим фиксировать внимание на речи, развиваем фонематические процессы, контролируем правильность звукопроизношения и сохранность слоговой структуры слова, отрабатываем правильность употребления грамматических категорий и развиваем связную речь.</w:t>
      </w:r>
    </w:p>
    <w:p w:rsidR="0068590C" w:rsidRPr="007A07A1" w:rsidRDefault="0068590C" w:rsidP="00646BCB">
      <w:pPr>
        <w:spacing w:line="240" w:lineRule="auto"/>
        <w:jc w:val="both"/>
        <w:rPr>
          <w:sz w:val="36"/>
          <w:szCs w:val="36"/>
        </w:rPr>
      </w:pPr>
    </w:p>
    <w:sectPr w:rsidR="0068590C" w:rsidRPr="007A07A1" w:rsidSect="003658D7">
      <w:headerReference w:type="default" r:id="rId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7A3" w:rsidRDefault="007337A3" w:rsidP="006A3D65">
      <w:pPr>
        <w:spacing w:after="0" w:line="240" w:lineRule="auto"/>
      </w:pPr>
      <w:r>
        <w:separator/>
      </w:r>
    </w:p>
  </w:endnote>
  <w:endnote w:type="continuationSeparator" w:id="1">
    <w:p w:rsidR="007337A3" w:rsidRDefault="007337A3" w:rsidP="006A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7A3" w:rsidRDefault="007337A3" w:rsidP="006A3D65">
      <w:pPr>
        <w:spacing w:after="0" w:line="240" w:lineRule="auto"/>
      </w:pPr>
      <w:r>
        <w:separator/>
      </w:r>
    </w:p>
  </w:footnote>
  <w:footnote w:type="continuationSeparator" w:id="1">
    <w:p w:rsidR="007337A3" w:rsidRDefault="007337A3" w:rsidP="006A3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8681"/>
      <w:docPartObj>
        <w:docPartGallery w:val="Page Numbers (Top of Page)"/>
        <w:docPartUnique/>
      </w:docPartObj>
    </w:sdtPr>
    <w:sdtContent>
      <w:p w:rsidR="00D23506" w:rsidRDefault="00D23506">
        <w:pPr>
          <w:pStyle w:val="a3"/>
          <w:jc w:val="center"/>
        </w:pPr>
        <w:fldSimple w:instr=" PAGE   \* MERGEFORMAT ">
          <w:r w:rsidR="005E4F79">
            <w:rPr>
              <w:noProof/>
            </w:rPr>
            <w:t>8</w:t>
          </w:r>
        </w:fldSimple>
      </w:p>
    </w:sdtContent>
  </w:sdt>
  <w:p w:rsidR="00D23506" w:rsidRDefault="00D235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7A1"/>
    <w:rsid w:val="00061670"/>
    <w:rsid w:val="0015165B"/>
    <w:rsid w:val="001C4BAE"/>
    <w:rsid w:val="00213F25"/>
    <w:rsid w:val="002148C2"/>
    <w:rsid w:val="00343499"/>
    <w:rsid w:val="0035076C"/>
    <w:rsid w:val="003658D7"/>
    <w:rsid w:val="00377209"/>
    <w:rsid w:val="003B19BA"/>
    <w:rsid w:val="00406FF2"/>
    <w:rsid w:val="005A2C09"/>
    <w:rsid w:val="005D2E11"/>
    <w:rsid w:val="005E4F79"/>
    <w:rsid w:val="006168C3"/>
    <w:rsid w:val="00622A78"/>
    <w:rsid w:val="00646BCB"/>
    <w:rsid w:val="0068590C"/>
    <w:rsid w:val="006A3D65"/>
    <w:rsid w:val="006E3A50"/>
    <w:rsid w:val="007337A3"/>
    <w:rsid w:val="007A07A1"/>
    <w:rsid w:val="007D214B"/>
    <w:rsid w:val="007F6AE0"/>
    <w:rsid w:val="00917C88"/>
    <w:rsid w:val="009567EC"/>
    <w:rsid w:val="0097266D"/>
    <w:rsid w:val="009969DB"/>
    <w:rsid w:val="009A71B5"/>
    <w:rsid w:val="00A43FA8"/>
    <w:rsid w:val="00A81B4E"/>
    <w:rsid w:val="00AA0A6D"/>
    <w:rsid w:val="00AC2D4D"/>
    <w:rsid w:val="00C2531A"/>
    <w:rsid w:val="00C94ECA"/>
    <w:rsid w:val="00D06417"/>
    <w:rsid w:val="00D23506"/>
    <w:rsid w:val="00D854AA"/>
    <w:rsid w:val="00DC486B"/>
    <w:rsid w:val="00E2254E"/>
    <w:rsid w:val="00EB4C75"/>
    <w:rsid w:val="00F62270"/>
    <w:rsid w:val="00FA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3D65"/>
  </w:style>
  <w:style w:type="paragraph" w:styleId="a5">
    <w:name w:val="footer"/>
    <w:basedOn w:val="a"/>
    <w:link w:val="a6"/>
    <w:uiPriority w:val="99"/>
    <w:unhideWhenUsed/>
    <w:rsid w:val="006A3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</dc:creator>
  <cp:keywords/>
  <dc:description/>
  <cp:lastModifiedBy>Арт</cp:lastModifiedBy>
  <cp:revision>4</cp:revision>
  <dcterms:created xsi:type="dcterms:W3CDTF">2012-11-10T10:23:00Z</dcterms:created>
  <dcterms:modified xsi:type="dcterms:W3CDTF">2012-11-11T14:10:00Z</dcterms:modified>
</cp:coreProperties>
</file>