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4F" w:rsidRDefault="0070404F" w:rsidP="00BE60EA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color w:val="548DD4"/>
          <w:sz w:val="28"/>
          <w:szCs w:val="28"/>
          <w:lang w:eastAsia="ru-RU"/>
        </w:rPr>
      </w:pPr>
    </w:p>
    <w:p w:rsidR="0070404F" w:rsidRDefault="0070404F" w:rsidP="0070404F">
      <w:pPr>
        <w:spacing w:before="100" w:beforeAutospacing="1" w:after="100" w:afterAutospacing="1" w:line="240" w:lineRule="auto"/>
        <w:ind w:left="-144" w:firstLine="144"/>
        <w:outlineLvl w:val="1"/>
        <w:rPr>
          <w:rFonts w:ascii="Verdana" w:eastAsia="Times New Roman" w:hAnsi="Verdana" w:cs="Times New Roman"/>
          <w:color w:val="548DD4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FDD8DD" wp14:editId="49757E36">
            <wp:simplePos x="0" y="0"/>
            <wp:positionH relativeFrom="column">
              <wp:posOffset>3301365</wp:posOffset>
            </wp:positionH>
            <wp:positionV relativeFrom="paragraph">
              <wp:posOffset>89535</wp:posOffset>
            </wp:positionV>
            <wp:extent cx="265303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04" y="21520"/>
                <wp:lineTo x="21404" y="0"/>
                <wp:lineTo x="0" y="0"/>
              </wp:wrapPolygon>
            </wp:wrapTight>
            <wp:docPr id="3" name="Рисунок 3" descr="Картинка 290 из 400924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90 из 400924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D8A7FA1" wp14:editId="154F0AAC">
            <wp:simplePos x="0" y="0"/>
            <wp:positionH relativeFrom="column">
              <wp:posOffset>-994410</wp:posOffset>
            </wp:positionH>
            <wp:positionV relativeFrom="paragraph">
              <wp:posOffset>-398145</wp:posOffset>
            </wp:positionV>
            <wp:extent cx="7391400" cy="10582275"/>
            <wp:effectExtent l="0" t="0" r="0" b="9525"/>
            <wp:wrapNone/>
            <wp:docPr id="2" name="Рисунок 2" descr="http://fotoramki.in/cvetochnie/fotoram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ramki.in/cvetochnie/fotoramka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0E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593165" wp14:editId="3CC8990D">
            <wp:simplePos x="0" y="0"/>
            <wp:positionH relativeFrom="column">
              <wp:posOffset>3148965</wp:posOffset>
            </wp:positionH>
            <wp:positionV relativeFrom="paragraph">
              <wp:posOffset>-62865</wp:posOffset>
            </wp:positionV>
            <wp:extent cx="265303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04" y="21520"/>
                <wp:lineTo x="21404" y="0"/>
                <wp:lineTo x="0" y="0"/>
              </wp:wrapPolygon>
            </wp:wrapTight>
            <wp:docPr id="1" name="Рисунок 1" descr="Картинка 290 из 400924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90 из 400924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0EA" w:rsidRPr="0070404F" w:rsidRDefault="00BE60EA" w:rsidP="0070404F">
      <w:pPr>
        <w:spacing w:before="100" w:beforeAutospacing="1" w:after="100" w:afterAutospacing="1" w:line="240" w:lineRule="auto"/>
        <w:ind w:left="-144" w:firstLine="144"/>
        <w:outlineLvl w:val="1"/>
        <w:rPr>
          <w:rFonts w:ascii="Verdana" w:eastAsia="Times New Roman" w:hAnsi="Verdana" w:cs="Times New Roman"/>
          <w:color w:val="1F497D" w:themeColor="text2"/>
          <w:sz w:val="28"/>
          <w:szCs w:val="28"/>
          <w:lang w:eastAsia="ru-RU"/>
        </w:rPr>
      </w:pPr>
      <w:r w:rsidRPr="0070404F">
        <w:rPr>
          <w:rFonts w:ascii="Verdana" w:eastAsia="Times New Roman" w:hAnsi="Verdana" w:cs="Times New Roman"/>
          <w:color w:val="1F497D" w:themeColor="text2"/>
          <w:sz w:val="28"/>
          <w:szCs w:val="28"/>
          <w:lang w:eastAsia="ru-RU"/>
        </w:rPr>
        <w:t>Работа с родителями</w:t>
      </w:r>
    </w:p>
    <w:p w:rsidR="00BE60EA" w:rsidRPr="0070404F" w:rsidRDefault="00181AB4" w:rsidP="00BE60EA">
      <w:pPr>
        <w:keepNext/>
        <w:keepLines/>
        <w:spacing w:before="200" w:after="0"/>
        <w:outlineLvl w:val="2"/>
        <w:rPr>
          <w:rFonts w:ascii="Verdana" w:eastAsia="Times New Roman" w:hAnsi="Verdana" w:cs="Times New Roman"/>
          <w:b/>
          <w:bCs/>
          <w:color w:val="1F497D" w:themeColor="text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1E3EEE4" wp14:editId="50509A10">
            <wp:simplePos x="0" y="0"/>
            <wp:positionH relativeFrom="column">
              <wp:posOffset>3082290</wp:posOffset>
            </wp:positionH>
            <wp:positionV relativeFrom="paragraph">
              <wp:posOffset>22860</wp:posOffset>
            </wp:positionV>
            <wp:extent cx="1762125" cy="1838325"/>
            <wp:effectExtent l="0" t="0" r="9525" b="9525"/>
            <wp:wrapNone/>
            <wp:docPr id="15" name="Рисунок 15" descr="http://www.rastut-goda.ru/images/image/image1/bo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tut-goda.ru/images/image/image1/bo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0EA" w:rsidRPr="0070404F">
        <w:rPr>
          <w:rFonts w:ascii="Verdana" w:eastAsia="Times New Roman" w:hAnsi="Verdana" w:cs="Times New Roman"/>
          <w:b/>
          <w:bCs/>
          <w:color w:val="1F497D" w:themeColor="text2"/>
          <w:lang w:eastAsia="ru-RU"/>
        </w:rPr>
        <w:t>Консультации для родителей</w:t>
      </w:r>
    </w:p>
    <w:p w:rsidR="00BE60EA" w:rsidRPr="00B85EA8" w:rsidRDefault="00BE60EA" w:rsidP="00BE60EA">
      <w:pPr>
        <w:keepNext/>
        <w:keepLines/>
        <w:spacing w:before="200" w:after="0"/>
        <w:outlineLvl w:val="3"/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85EA8"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  <w:t>«Играйте вместе с детьми»</w:t>
      </w:r>
    </w:p>
    <w:p w:rsidR="00BE60EA" w:rsidRPr="00196A24" w:rsidRDefault="00181AB4" w:rsidP="002E4C2E">
      <w:pPr>
        <w:spacing w:before="75" w:after="75" w:line="360" w:lineRule="auto"/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Родители знают, что дети любят </w:t>
      </w:r>
      <w:r w:rsidR="00BE60EA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играть, поощряют их самостоятельные игры, покупают игрушки. Но не все при этом задумываются, каково воспитательное </w:t>
      </w:r>
      <w:bookmarkStart w:id="0" w:name="_GoBack"/>
      <w:bookmarkEnd w:id="0"/>
      <w:r w:rsidR="00BE60EA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значение детских игр. О</w:t>
      </w:r>
      <w:r w:rsidR="00133C88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д</w:t>
      </w:r>
      <w:r w:rsidR="00BE60EA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ни считают, что игра служит для забавы, для развлечения ребёнка. Другие видят в ней одно из средств отвлечения малыша от шалостей, капризов, заполнение его свободного времени, чтобы был при деле.</w:t>
      </w:r>
    </w:p>
    <w:p w:rsidR="00BE60EA" w:rsidRPr="00196A24" w:rsidRDefault="00BE60EA" w:rsidP="00BE60EA">
      <w:pPr>
        <w:spacing w:before="75" w:after="75" w:line="360" w:lineRule="auto"/>
        <w:ind w:firstLine="180"/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</w:pP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Жизнь взрослых интересует детей не только своей внешней стороной. Их привлекает внутренний мир людей, взаимоотношения между ними, отношение родителей друг к другу</w:t>
      </w:r>
      <w:r w:rsidR="002E4C2E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. </w:t>
      </w: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Дети подражают родителям: манере обращаться с окружающими, их поступками, трудовым действиям. И всё это они переносят в свои игры, закрепляя, таким образом, накопленный опыт поведения, формы отношения.</w:t>
      </w:r>
    </w:p>
    <w:p w:rsidR="00BE60EA" w:rsidRPr="00196A24" w:rsidRDefault="00BE60EA" w:rsidP="00BE60EA">
      <w:pPr>
        <w:spacing w:before="75" w:after="75" w:line="360" w:lineRule="auto"/>
        <w:ind w:firstLine="180"/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</w:pP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С накоплением жизненного опыта</w:t>
      </w:r>
      <w:r w:rsidR="007E6ED8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 </w:t>
      </w: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– игры детей становятся более содержательными, разнообразными по сюжетам, тематике, по количеству исполняемых ролей, участников игры. В играх ребёнок начинает отражать не только быт семьи, факты, не</w:t>
      </w:r>
      <w:r w:rsidR="00181AB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посредственно воспринимаемые им, но</w:t>
      </w: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 и образы героев прочитанных ему сказок, рассказов, которые ему надо создать по представлению.</w:t>
      </w:r>
    </w:p>
    <w:p w:rsidR="00B85EA8" w:rsidRPr="00196A24" w:rsidRDefault="00B85EA8" w:rsidP="00BE60EA">
      <w:pPr>
        <w:spacing w:before="75" w:after="75" w:line="360" w:lineRule="auto"/>
        <w:ind w:firstLine="180"/>
        <w:rPr>
          <w:rFonts w:ascii="Verdana" w:eastAsia="Times New Roman" w:hAnsi="Verdana" w:cs="Times New Roman"/>
          <w:b/>
          <w:color w:val="244061" w:themeColor="accent1" w:themeShade="80"/>
          <w:sz w:val="28"/>
          <w:szCs w:val="28"/>
          <w:u w:val="single"/>
          <w:lang w:eastAsia="ru-RU"/>
        </w:rPr>
      </w:pPr>
    </w:p>
    <w:p w:rsidR="0070404F" w:rsidRDefault="0070404F" w:rsidP="00BE60EA">
      <w:pPr>
        <w:spacing w:before="75" w:after="75" w:line="360" w:lineRule="auto"/>
        <w:ind w:firstLine="180"/>
        <w:rPr>
          <w:rFonts w:ascii="Verdana" w:eastAsia="Times New Roman" w:hAnsi="Verdana" w:cs="Times New Roman"/>
          <w:b/>
          <w:color w:val="FF0000"/>
          <w:sz w:val="28"/>
          <w:szCs w:val="28"/>
          <w:u w:val="single"/>
          <w:lang w:eastAsia="ru-RU"/>
        </w:rPr>
      </w:pPr>
    </w:p>
    <w:p w:rsidR="0070404F" w:rsidRDefault="0070404F" w:rsidP="00BE60EA">
      <w:pPr>
        <w:spacing w:before="75" w:after="75" w:line="360" w:lineRule="auto"/>
        <w:ind w:firstLine="180"/>
        <w:rPr>
          <w:rFonts w:ascii="Verdana" w:eastAsia="Times New Roman" w:hAnsi="Verdana" w:cs="Times New Roman"/>
          <w:b/>
          <w:color w:val="FF0000"/>
          <w:sz w:val="28"/>
          <w:szCs w:val="28"/>
          <w:u w:val="single"/>
          <w:lang w:eastAsia="ru-RU"/>
        </w:rPr>
      </w:pPr>
    </w:p>
    <w:p w:rsidR="007E6ED8" w:rsidRPr="00B85EA8" w:rsidRDefault="0070404F" w:rsidP="0070404F">
      <w:pPr>
        <w:spacing w:before="75" w:after="75" w:line="360" w:lineRule="auto"/>
        <w:rPr>
          <w:rFonts w:ascii="Verdana" w:eastAsia="Times New Roman" w:hAnsi="Verdana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2B3105D" wp14:editId="3A879787">
            <wp:simplePos x="0" y="0"/>
            <wp:positionH relativeFrom="column">
              <wp:posOffset>-1061085</wp:posOffset>
            </wp:positionH>
            <wp:positionV relativeFrom="paragraph">
              <wp:posOffset>-13970</wp:posOffset>
            </wp:positionV>
            <wp:extent cx="7391400" cy="10582275"/>
            <wp:effectExtent l="0" t="0" r="0" b="9525"/>
            <wp:wrapNone/>
            <wp:docPr id="5" name="Рисунок 5" descr="http://fotoramki.in/cvetochnie/fotoram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ramki.in/cvetochnie/fotoramka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04F" w:rsidRDefault="0070404F" w:rsidP="00BE60EA">
      <w:pPr>
        <w:spacing w:before="75" w:after="75" w:line="360" w:lineRule="auto"/>
        <w:ind w:firstLine="180"/>
        <w:rPr>
          <w:rFonts w:ascii="Verdana" w:eastAsia="Times New Roman" w:hAnsi="Verdana" w:cs="Times New Roman"/>
          <w:b/>
          <w:color w:val="4F81BD" w:themeColor="accent1"/>
          <w:sz w:val="28"/>
          <w:szCs w:val="28"/>
          <w:lang w:eastAsia="ru-RU"/>
        </w:rPr>
      </w:pPr>
    </w:p>
    <w:p w:rsidR="0070404F" w:rsidRPr="0070404F" w:rsidRDefault="0070404F" w:rsidP="00BE60EA">
      <w:pPr>
        <w:spacing w:before="75" w:after="75" w:line="360" w:lineRule="auto"/>
        <w:ind w:firstLine="180"/>
        <w:rPr>
          <w:rFonts w:ascii="Verdana" w:eastAsia="Times New Roman" w:hAnsi="Verdana" w:cs="Times New Roman"/>
          <w:b/>
          <w:color w:val="FF0000"/>
          <w:sz w:val="28"/>
          <w:szCs w:val="28"/>
          <w:u w:val="single"/>
          <w:lang w:eastAsia="ru-RU"/>
        </w:rPr>
      </w:pPr>
      <w:r w:rsidRPr="0070404F">
        <w:rPr>
          <w:rFonts w:ascii="Verdana" w:eastAsia="Times New Roman" w:hAnsi="Verdana" w:cs="Times New Roman"/>
          <w:b/>
          <w:color w:val="FF0000"/>
          <w:sz w:val="28"/>
          <w:szCs w:val="28"/>
          <w:u w:val="single"/>
          <w:lang w:eastAsia="ru-RU"/>
        </w:rPr>
        <w:t>Советы родителям:</w:t>
      </w:r>
    </w:p>
    <w:p w:rsidR="007E6ED8" w:rsidRPr="00C30BCF" w:rsidRDefault="007E6ED8" w:rsidP="00BE60EA">
      <w:pPr>
        <w:spacing w:before="75" w:after="75" w:line="360" w:lineRule="auto"/>
        <w:ind w:firstLine="180"/>
        <w:rPr>
          <w:rFonts w:ascii="Verdana" w:eastAsia="Times New Roman" w:hAnsi="Verdana" w:cs="Times New Roman"/>
          <w:color w:val="1F497D" w:themeColor="text2"/>
          <w:sz w:val="28"/>
          <w:szCs w:val="28"/>
          <w:lang w:eastAsia="ru-RU"/>
        </w:rPr>
      </w:pPr>
      <w:r w:rsidRPr="00C30BCF">
        <w:rPr>
          <w:rFonts w:ascii="Verdana" w:eastAsia="Times New Roman" w:hAnsi="Verdana" w:cs="Times New Roman"/>
          <w:b/>
          <w:color w:val="1F497D" w:themeColor="text2"/>
          <w:sz w:val="28"/>
          <w:szCs w:val="28"/>
          <w:lang w:eastAsia="ru-RU"/>
        </w:rPr>
        <w:t>- Играйте вместе с детьми</w:t>
      </w:r>
      <w:r w:rsidRPr="00C30BCF">
        <w:rPr>
          <w:rFonts w:ascii="Verdana" w:eastAsia="Times New Roman" w:hAnsi="Verdana" w:cs="Times New Roman"/>
          <w:color w:val="1F497D" w:themeColor="text2"/>
          <w:sz w:val="28"/>
          <w:szCs w:val="28"/>
          <w:lang w:eastAsia="ru-RU"/>
        </w:rPr>
        <w:t xml:space="preserve"> </w:t>
      </w:r>
    </w:p>
    <w:p w:rsidR="00BE60EA" w:rsidRPr="00196A24" w:rsidRDefault="007E6ED8" w:rsidP="007E6ED8">
      <w:pPr>
        <w:spacing w:before="75" w:after="75" w:line="360" w:lineRule="auto"/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</w:pP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Б</w:t>
      </w:r>
      <w:r w:rsidR="00BE60EA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ез руководства со стороны взрослых дети не всегда умеют играть. </w:t>
      </w:r>
    </w:p>
    <w:p w:rsidR="00BE60EA" w:rsidRPr="00196A24" w:rsidRDefault="00BE60EA" w:rsidP="007E6ED8">
      <w:pPr>
        <w:spacing w:before="75" w:after="75" w:line="360" w:lineRule="auto"/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</w:pP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Им трудно сговариваться с партнёрами, действовать сообща. Кто-то из старших членов семьи, включаясь в игру, может стать связующим звеном между детьми, учить их играть вместе</w:t>
      </w:r>
      <w:r w:rsidR="002E4C2E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. </w:t>
      </w: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Совместные игры родителей с детьми духовно и эмоционально обогащает детей, удовлетворяют потребность в общении с близкими людьми, укрепляют веру в свои силы.</w:t>
      </w:r>
    </w:p>
    <w:p w:rsidR="00BE60EA" w:rsidRPr="00196A24" w:rsidRDefault="002E4C2E" w:rsidP="0000666C">
      <w:pPr>
        <w:spacing w:after="0" w:line="360" w:lineRule="auto"/>
        <w:ind w:firstLine="180"/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</w:pPr>
      <w:r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Дети </w:t>
      </w:r>
      <w:r w:rsidR="00BE60EA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>2-4 лет не только не умеют играть вместе, они не ум</w:t>
      </w:r>
      <w:r w:rsidR="0000666C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еют играть самостоятельно. Ребенок </w:t>
      </w:r>
      <w:r w:rsidR="00BE60EA" w:rsidRPr="00196A24">
        <w:rPr>
          <w:rFonts w:ascii="Verdana" w:eastAsia="Times New Roman" w:hAnsi="Verdana" w:cs="Times New Roman"/>
          <w:color w:val="244061" w:themeColor="accent1" w:themeShade="80"/>
          <w:sz w:val="28"/>
          <w:szCs w:val="28"/>
          <w:lang w:eastAsia="ru-RU"/>
        </w:rPr>
        <w:t xml:space="preserve"> обычно бесцельно возит взад-вперёд машину, не находя ей большего применения, он её быстро бросает, требует новую игрушку. Самостоятельность в игре формируется постепенно, в процессе игрового </w:t>
      </w:r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общения </w:t>
      </w:r>
      <w:proofErr w:type="gramStart"/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>со</w:t>
      </w:r>
      <w:proofErr w:type="gramEnd"/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 взрослыми, со старшими детьми, с ровесниками. Развитие самостоятельности во многом зависит от того, как организована жизнь ребёнка в игре. Ждать, пока он сам начнёт играть самостоятельно – значит заведомо тормозить развитие детской личности.</w:t>
      </w:r>
    </w:p>
    <w:p w:rsidR="00453CBC" w:rsidRPr="00C30BCF" w:rsidRDefault="00453CBC" w:rsidP="00BE60EA">
      <w:pPr>
        <w:pStyle w:val="a3"/>
        <w:rPr>
          <w:rFonts w:ascii="Verdana" w:hAnsi="Verdana"/>
          <w:b/>
          <w:color w:val="1F497D" w:themeColor="text2"/>
          <w:sz w:val="28"/>
          <w:szCs w:val="28"/>
        </w:rPr>
      </w:pPr>
      <w:r w:rsidRPr="00C30BCF">
        <w:rPr>
          <w:rFonts w:ascii="Verdana" w:hAnsi="Verdana"/>
          <w:b/>
          <w:color w:val="1F497D" w:themeColor="text2"/>
          <w:sz w:val="28"/>
          <w:szCs w:val="28"/>
        </w:rPr>
        <w:t>- Подбирайте для ребенка игрушку по возрасту</w:t>
      </w:r>
    </w:p>
    <w:p w:rsidR="0070404F" w:rsidRDefault="002E4C2E" w:rsidP="00453CBC">
      <w:pPr>
        <w:pStyle w:val="a3"/>
        <w:ind w:firstLine="0"/>
        <w:rPr>
          <w:rFonts w:ascii="Verdana" w:hAnsi="Verdana"/>
          <w:color w:val="244061" w:themeColor="accent1" w:themeShade="80"/>
          <w:sz w:val="28"/>
          <w:szCs w:val="28"/>
        </w:rPr>
      </w:pPr>
      <w:r w:rsidRPr="00B85EA8">
        <w:rPr>
          <w:rFonts w:ascii="Verdana" w:hAnsi="Verdana"/>
          <w:sz w:val="28"/>
          <w:szCs w:val="28"/>
        </w:rPr>
        <w:t xml:space="preserve"> </w:t>
      </w:r>
      <w:r w:rsidR="00453CBC" w:rsidRPr="00196A24">
        <w:rPr>
          <w:rFonts w:ascii="Verdana" w:hAnsi="Verdana"/>
          <w:color w:val="244061" w:themeColor="accent1" w:themeShade="80"/>
          <w:sz w:val="28"/>
          <w:szCs w:val="28"/>
        </w:rPr>
        <w:t>Для ребенка</w:t>
      </w:r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 игрушка – центр игры, материальная опора. Она наталкивает его на тему игры, рождает новые связи, вызывает желание действовать с ней, обогащает чувственный опыт. Но игрушки, которые нравятся взрослым, не всегда оказывают воспитательное значение для детей. Иногда простая коробка из-под обуви ценнее любой заводной игрушки. Коробка может быть прицепом для машины, в которой можно перевозить </w:t>
      </w:r>
    </w:p>
    <w:p w:rsidR="0070404F" w:rsidRDefault="0070404F" w:rsidP="00453CBC">
      <w:pPr>
        <w:pStyle w:val="a3"/>
        <w:ind w:firstLine="0"/>
        <w:rPr>
          <w:rFonts w:ascii="Verdana" w:hAnsi="Verdana"/>
          <w:color w:val="244061" w:themeColor="accent1" w:themeShade="80"/>
          <w:sz w:val="28"/>
          <w:szCs w:val="28"/>
        </w:rPr>
      </w:pPr>
    </w:p>
    <w:p w:rsidR="0070404F" w:rsidRDefault="0070404F" w:rsidP="00453CBC">
      <w:pPr>
        <w:pStyle w:val="a3"/>
        <w:ind w:firstLine="0"/>
        <w:rPr>
          <w:rFonts w:ascii="Verdana" w:hAnsi="Verdana"/>
          <w:color w:val="244061" w:themeColor="accent1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EAC66DD" wp14:editId="36F31689">
            <wp:simplePos x="0" y="0"/>
            <wp:positionH relativeFrom="column">
              <wp:posOffset>-1080135</wp:posOffset>
            </wp:positionH>
            <wp:positionV relativeFrom="paragraph">
              <wp:posOffset>-61595</wp:posOffset>
            </wp:positionV>
            <wp:extent cx="7629525" cy="10791825"/>
            <wp:effectExtent l="0" t="0" r="9525" b="9525"/>
            <wp:wrapNone/>
            <wp:docPr id="6" name="Рисунок 6" descr="http://fotoramki.in/cvetochnie/fotoram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ramki.in/cvetochnie/fotoramka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04F" w:rsidRDefault="0070404F" w:rsidP="00453CBC">
      <w:pPr>
        <w:pStyle w:val="a3"/>
        <w:ind w:firstLine="0"/>
        <w:rPr>
          <w:rFonts w:ascii="Verdana" w:hAnsi="Verdana"/>
          <w:color w:val="244061" w:themeColor="accent1" w:themeShade="80"/>
          <w:sz w:val="28"/>
          <w:szCs w:val="28"/>
        </w:rPr>
      </w:pPr>
    </w:p>
    <w:p w:rsidR="00BE60EA" w:rsidRPr="00196A24" w:rsidRDefault="00BE60EA" w:rsidP="00453CBC">
      <w:pPr>
        <w:pStyle w:val="a3"/>
        <w:ind w:firstLine="0"/>
        <w:rPr>
          <w:rFonts w:ascii="Verdana" w:hAnsi="Verdana"/>
          <w:color w:val="244061" w:themeColor="accent1" w:themeShade="80"/>
          <w:sz w:val="28"/>
          <w:szCs w:val="28"/>
        </w:rPr>
      </w:pPr>
      <w:r w:rsidRPr="00196A24">
        <w:rPr>
          <w:rFonts w:ascii="Verdana" w:hAnsi="Verdana"/>
          <w:color w:val="244061" w:themeColor="accent1" w:themeShade="80"/>
          <w:sz w:val="28"/>
          <w:szCs w:val="28"/>
        </w:rPr>
        <w:t>кубики, солдат, кирпичики, или устроить в коробке коляску для кукол.</w:t>
      </w:r>
    </w:p>
    <w:p w:rsidR="00BE60EA" w:rsidRPr="00196A24" w:rsidRDefault="00BE60EA" w:rsidP="00453CBC">
      <w:pPr>
        <w:pStyle w:val="a3"/>
        <w:ind w:firstLine="0"/>
        <w:rPr>
          <w:rFonts w:ascii="Verdana" w:hAnsi="Verdana"/>
          <w:color w:val="244061" w:themeColor="accent1" w:themeShade="80"/>
          <w:sz w:val="28"/>
          <w:szCs w:val="28"/>
        </w:rPr>
      </w:pPr>
      <w:proofErr w:type="gramStart"/>
      <w:r w:rsidRPr="00196A24">
        <w:rPr>
          <w:rFonts w:ascii="Verdana" w:hAnsi="Verdana"/>
          <w:color w:val="244061" w:themeColor="accent1" w:themeShade="80"/>
          <w:sz w:val="28"/>
          <w:szCs w:val="28"/>
        </w:rPr>
        <w:t>В игровом хозяйстве ребёнка должны быть разные игрушки: сюжетно-образные (изображающие людей, животных, предметы труда, быта, транспорт и др.), двигательные (различные каталки, коляски, мячи, скакалки, спортивные игрушки), строительные наборы, дидактические (разнообразные башенки, матрёшки, настольные игры).</w:t>
      </w:r>
      <w:proofErr w:type="gramEnd"/>
    </w:p>
    <w:p w:rsidR="00B85EA8" w:rsidRPr="00C30BCF" w:rsidRDefault="00453CBC" w:rsidP="00453CBC">
      <w:pPr>
        <w:pStyle w:val="a3"/>
        <w:rPr>
          <w:rFonts w:ascii="Verdana" w:hAnsi="Verdana"/>
          <w:color w:val="1F497D" w:themeColor="text2"/>
          <w:sz w:val="28"/>
          <w:szCs w:val="28"/>
        </w:rPr>
      </w:pPr>
      <w:r w:rsidRPr="00C30BCF">
        <w:rPr>
          <w:rFonts w:ascii="Verdana" w:hAnsi="Verdana"/>
          <w:b/>
          <w:color w:val="1F497D" w:themeColor="text2"/>
          <w:sz w:val="28"/>
          <w:szCs w:val="28"/>
        </w:rPr>
        <w:t>- Не делите игрушки на «девчоночьи» и на «</w:t>
      </w:r>
      <w:proofErr w:type="gramStart"/>
      <w:r w:rsidRPr="00C30BCF">
        <w:rPr>
          <w:rFonts w:ascii="Verdana" w:hAnsi="Verdana"/>
          <w:b/>
          <w:color w:val="1F497D" w:themeColor="text2"/>
          <w:sz w:val="28"/>
          <w:szCs w:val="28"/>
        </w:rPr>
        <w:t>мальчишечьи</w:t>
      </w:r>
      <w:proofErr w:type="gramEnd"/>
      <w:r w:rsidRPr="00C30BCF">
        <w:rPr>
          <w:rFonts w:ascii="Verdana" w:hAnsi="Verdana"/>
          <w:b/>
          <w:color w:val="1F497D" w:themeColor="text2"/>
          <w:sz w:val="28"/>
          <w:szCs w:val="28"/>
        </w:rPr>
        <w:t>».</w:t>
      </w:r>
      <w:r w:rsidRPr="00C30BCF">
        <w:rPr>
          <w:rFonts w:ascii="Verdana" w:hAnsi="Verdana"/>
          <w:color w:val="1F497D" w:themeColor="text2"/>
          <w:sz w:val="28"/>
          <w:szCs w:val="28"/>
        </w:rPr>
        <w:t xml:space="preserve"> </w:t>
      </w:r>
    </w:p>
    <w:p w:rsidR="00BE60EA" w:rsidRPr="00196A24" w:rsidRDefault="00453CBC" w:rsidP="00453CBC">
      <w:pPr>
        <w:pStyle w:val="a3"/>
        <w:rPr>
          <w:rFonts w:ascii="Verdana" w:hAnsi="Verdana"/>
          <w:color w:val="244061" w:themeColor="accent1" w:themeShade="80"/>
          <w:sz w:val="28"/>
          <w:szCs w:val="28"/>
        </w:rPr>
      </w:pPr>
      <w:r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 </w:t>
      </w:r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Часто девочки играют только с куклами, поэтому часто они лишены радости </w:t>
      </w:r>
      <w:proofErr w:type="gramStart"/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>играть</w:t>
      </w:r>
      <w:proofErr w:type="gramEnd"/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 в такие игры, в которых формируется смекалка, находчивость, творческие способности. Девочки с куклами играют или в одиночку, или только с девочками. С мальчиками у них нет общих интересов и нет предпосылок для возникновения дружеских взаимоотношений между детьми. Мальчики обычно играют с машинами, с детским оружием. Такие игрушки тоже ограничивают круг общения с девочками</w:t>
      </w:r>
      <w:r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. </w:t>
      </w:r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>Если мальчик не играет с куклой, ему можно приобрести мишку, куклу в образе мальчика, малыша, матроса, Буратино, Чеб</w:t>
      </w:r>
      <w:r w:rsidR="002E4C2E" w:rsidRPr="00196A24">
        <w:rPr>
          <w:rFonts w:ascii="Verdana" w:hAnsi="Verdana"/>
          <w:color w:val="244061" w:themeColor="accent1" w:themeShade="80"/>
          <w:sz w:val="28"/>
          <w:szCs w:val="28"/>
        </w:rPr>
        <w:t>урашки и т.п. Важно, чтобы ребенок</w:t>
      </w:r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 получил возможность заботиться о ком-то. Мягкие игрушки, изображающие людей и животных, радуют детей своим привлекательным видом, вызывают положительные эмоции</w:t>
      </w:r>
      <w:r w:rsidR="002E4C2E" w:rsidRPr="00196A24">
        <w:rPr>
          <w:rFonts w:ascii="Verdana" w:hAnsi="Verdana"/>
          <w:color w:val="244061" w:themeColor="accent1" w:themeShade="80"/>
          <w:sz w:val="28"/>
          <w:szCs w:val="28"/>
        </w:rPr>
        <w:t>.</w:t>
      </w:r>
      <w:r w:rsidR="00BE60EA"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 Эти игрушки оказываются первыми помощниками детей в приобретении опыта общения с окружающими детьми и взрослыми</w:t>
      </w:r>
      <w:r w:rsidRPr="00196A24">
        <w:rPr>
          <w:rFonts w:ascii="Verdana" w:hAnsi="Verdana"/>
          <w:color w:val="244061" w:themeColor="accent1" w:themeShade="80"/>
          <w:sz w:val="28"/>
          <w:szCs w:val="28"/>
        </w:rPr>
        <w:t>.</w:t>
      </w:r>
    </w:p>
    <w:p w:rsidR="0070404F" w:rsidRDefault="00BE60EA" w:rsidP="00BE60EA">
      <w:pPr>
        <w:pStyle w:val="a3"/>
        <w:rPr>
          <w:rFonts w:ascii="Verdana" w:hAnsi="Verdana"/>
          <w:color w:val="244061" w:themeColor="accent1" w:themeShade="80"/>
          <w:sz w:val="28"/>
          <w:szCs w:val="28"/>
        </w:rPr>
      </w:pPr>
      <w:r w:rsidRPr="00196A24">
        <w:rPr>
          <w:rFonts w:ascii="Verdana" w:hAnsi="Verdana"/>
          <w:color w:val="244061" w:themeColor="accent1" w:themeShade="80"/>
          <w:sz w:val="28"/>
          <w:szCs w:val="28"/>
        </w:rPr>
        <w:t>Играя вместе с ребёнком, родител</w:t>
      </w:r>
      <w:r w:rsidR="00181AB4">
        <w:rPr>
          <w:rFonts w:ascii="Verdana" w:hAnsi="Verdana"/>
          <w:color w:val="244061" w:themeColor="accent1" w:themeShade="80"/>
          <w:sz w:val="28"/>
          <w:szCs w:val="28"/>
        </w:rPr>
        <w:t>ям важно следить за своим тоном</w:t>
      </w:r>
      <w:r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. Ровный, спокойный, доброжелательный тон </w:t>
      </w:r>
      <w:proofErr w:type="gramStart"/>
      <w:r w:rsidRPr="00196A24">
        <w:rPr>
          <w:rFonts w:ascii="Verdana" w:hAnsi="Verdana"/>
          <w:color w:val="244061" w:themeColor="accent1" w:themeShade="80"/>
          <w:sz w:val="28"/>
          <w:szCs w:val="28"/>
        </w:rPr>
        <w:t>равного</w:t>
      </w:r>
      <w:proofErr w:type="gramEnd"/>
      <w:r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 </w:t>
      </w:r>
    </w:p>
    <w:p w:rsidR="0070404F" w:rsidRDefault="0070404F" w:rsidP="00BE60EA">
      <w:pPr>
        <w:pStyle w:val="a3"/>
        <w:rPr>
          <w:rFonts w:ascii="Verdana" w:hAnsi="Verdana"/>
          <w:color w:val="244061" w:themeColor="accent1" w:themeShade="80"/>
          <w:sz w:val="28"/>
          <w:szCs w:val="28"/>
        </w:rPr>
      </w:pPr>
    </w:p>
    <w:p w:rsidR="0070404F" w:rsidRDefault="009A560F" w:rsidP="00BE60EA">
      <w:pPr>
        <w:pStyle w:val="a3"/>
        <w:rPr>
          <w:rFonts w:ascii="Verdana" w:hAnsi="Verdana"/>
          <w:color w:val="244061" w:themeColor="accent1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820E340" wp14:editId="70BACCE3">
            <wp:simplePos x="0" y="0"/>
            <wp:positionH relativeFrom="column">
              <wp:posOffset>-1080135</wp:posOffset>
            </wp:positionH>
            <wp:positionV relativeFrom="paragraph">
              <wp:posOffset>-52070</wp:posOffset>
            </wp:positionV>
            <wp:extent cx="7581900" cy="10668000"/>
            <wp:effectExtent l="0" t="0" r="0" b="0"/>
            <wp:wrapNone/>
            <wp:docPr id="8" name="Рисунок 8" descr="http://fotoramki.in/cvetochnie/fotoram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ramki.in/cvetochnie/fotoramka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04F" w:rsidRDefault="0070404F" w:rsidP="00BE60EA">
      <w:pPr>
        <w:pStyle w:val="a3"/>
        <w:rPr>
          <w:rFonts w:ascii="Verdana" w:hAnsi="Verdana"/>
          <w:color w:val="244061" w:themeColor="accent1" w:themeShade="80"/>
          <w:sz w:val="28"/>
          <w:szCs w:val="28"/>
        </w:rPr>
      </w:pPr>
    </w:p>
    <w:p w:rsidR="00BE60EA" w:rsidRPr="00196A24" w:rsidRDefault="00BE60EA" w:rsidP="00BE60EA">
      <w:pPr>
        <w:pStyle w:val="a3"/>
        <w:rPr>
          <w:rFonts w:ascii="Verdana" w:hAnsi="Verdana"/>
          <w:color w:val="244061" w:themeColor="accent1" w:themeShade="80"/>
          <w:sz w:val="28"/>
          <w:szCs w:val="28"/>
        </w:rPr>
      </w:pPr>
      <w:r w:rsidRPr="00196A24">
        <w:rPr>
          <w:rFonts w:ascii="Verdana" w:hAnsi="Verdana"/>
          <w:color w:val="244061" w:themeColor="accent1" w:themeShade="80"/>
          <w:sz w:val="28"/>
          <w:szCs w:val="28"/>
        </w:rPr>
        <w:t>по игре партнёра вселяет ребёнку уверенность в том, что его понимают, с ним хотят играть.</w:t>
      </w:r>
    </w:p>
    <w:p w:rsidR="00BE60EA" w:rsidRDefault="00BE60EA" w:rsidP="00BE60EA">
      <w:pPr>
        <w:pStyle w:val="a3"/>
        <w:pBdr>
          <w:bottom w:val="single" w:sz="12" w:space="1" w:color="auto"/>
        </w:pBdr>
        <w:rPr>
          <w:rFonts w:ascii="Verdana" w:hAnsi="Verdana"/>
          <w:color w:val="244061" w:themeColor="accent1" w:themeShade="80"/>
          <w:sz w:val="28"/>
          <w:szCs w:val="28"/>
        </w:rPr>
      </w:pPr>
      <w:r w:rsidRPr="00196A24">
        <w:rPr>
          <w:rFonts w:ascii="Verdana" w:hAnsi="Verdana"/>
          <w:color w:val="244061" w:themeColor="accent1" w:themeShade="80"/>
          <w:sz w:val="28"/>
          <w:szCs w:val="28"/>
        </w:rPr>
        <w:t>Ребёнок очень рад минутам, подаренным ему родителями в игре. Общение в игр</w:t>
      </w:r>
      <w:r w:rsidR="002E4C2E" w:rsidRPr="00196A24">
        <w:rPr>
          <w:rFonts w:ascii="Verdana" w:hAnsi="Verdana"/>
          <w:color w:val="244061" w:themeColor="accent1" w:themeShade="80"/>
          <w:sz w:val="28"/>
          <w:szCs w:val="28"/>
        </w:rPr>
        <w:t>е не бывает бесплодно для ребенка</w:t>
      </w:r>
      <w:r w:rsidRPr="00196A24">
        <w:rPr>
          <w:rFonts w:ascii="Verdana" w:hAnsi="Verdana"/>
          <w:color w:val="244061" w:themeColor="accent1" w:themeShade="80"/>
          <w:sz w:val="28"/>
          <w:szCs w:val="28"/>
        </w:rPr>
        <w:t>. Чем больше выпадает дорогих минут в обществе близких ему людей, тем больше</w:t>
      </w:r>
      <w:r w:rsidR="00453CBC" w:rsidRPr="00196A24">
        <w:rPr>
          <w:rFonts w:ascii="Verdana" w:hAnsi="Verdana"/>
          <w:color w:val="244061" w:themeColor="accent1" w:themeShade="80"/>
          <w:sz w:val="28"/>
          <w:szCs w:val="28"/>
        </w:rPr>
        <w:t xml:space="preserve"> </w:t>
      </w:r>
      <w:r w:rsidRPr="00196A24">
        <w:rPr>
          <w:rFonts w:ascii="Verdana" w:hAnsi="Verdana"/>
          <w:color w:val="244061" w:themeColor="accent1" w:themeShade="80"/>
          <w:sz w:val="28"/>
          <w:szCs w:val="28"/>
        </w:rPr>
        <w:t>общих интересов, любви между ними в дальнейшем.</w:t>
      </w:r>
    </w:p>
    <w:p w:rsidR="00C30BCF" w:rsidRPr="00196A24" w:rsidRDefault="00C30BCF" w:rsidP="00C30BCF">
      <w:pPr>
        <w:pStyle w:val="a3"/>
        <w:pBdr>
          <w:bottom w:val="single" w:sz="12" w:space="1" w:color="auto"/>
        </w:pBdr>
        <w:ind w:firstLine="0"/>
        <w:rPr>
          <w:rFonts w:ascii="Verdana" w:hAnsi="Verdana"/>
          <w:color w:val="244061" w:themeColor="accent1" w:themeShade="80"/>
          <w:sz w:val="28"/>
          <w:szCs w:val="28"/>
        </w:rPr>
      </w:pPr>
    </w:p>
    <w:p w:rsidR="00C30BCF" w:rsidRDefault="00C30BCF" w:rsidP="00C30BCF">
      <w:pPr>
        <w:jc w:val="center"/>
        <w:rPr>
          <w:sz w:val="28"/>
          <w:szCs w:val="28"/>
        </w:rPr>
      </w:pPr>
    </w:p>
    <w:p w:rsidR="00C30BCF" w:rsidRDefault="00C30BCF" w:rsidP="00C30BCF">
      <w:pPr>
        <w:jc w:val="center"/>
        <w:rPr>
          <w:sz w:val="28"/>
          <w:szCs w:val="28"/>
        </w:rPr>
      </w:pPr>
    </w:p>
    <w:p w:rsidR="00C30BCF" w:rsidRDefault="00C30BCF" w:rsidP="00C30BCF">
      <w:pPr>
        <w:jc w:val="center"/>
        <w:rPr>
          <w:sz w:val="28"/>
          <w:szCs w:val="28"/>
        </w:rPr>
      </w:pPr>
    </w:p>
    <w:p w:rsidR="00BE60EA" w:rsidRPr="00B85EA8" w:rsidRDefault="00C30BCF" w:rsidP="00C30BC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B6744" wp14:editId="4D955F10">
            <wp:extent cx="4086186" cy="2883680"/>
            <wp:effectExtent l="0" t="0" r="0" b="0"/>
            <wp:docPr id="11" name="Рисунок 11" descr="http://pricola.net/content/pic/story31/27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cola.net/content/pic/story31/277/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11" cy="28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0EA" w:rsidRPr="00B85EA8" w:rsidSect="00A20396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226"/>
    <w:rsid w:val="0000666C"/>
    <w:rsid w:val="000B7D7E"/>
    <w:rsid w:val="00133C88"/>
    <w:rsid w:val="00181AB4"/>
    <w:rsid w:val="00196A24"/>
    <w:rsid w:val="002E4C2E"/>
    <w:rsid w:val="00341E96"/>
    <w:rsid w:val="00395B86"/>
    <w:rsid w:val="003C3226"/>
    <w:rsid w:val="00453CBC"/>
    <w:rsid w:val="004D5947"/>
    <w:rsid w:val="005A7526"/>
    <w:rsid w:val="00690053"/>
    <w:rsid w:val="0070404F"/>
    <w:rsid w:val="007D6E91"/>
    <w:rsid w:val="007E6ED8"/>
    <w:rsid w:val="00877E91"/>
    <w:rsid w:val="00984AE8"/>
    <w:rsid w:val="009A560F"/>
    <w:rsid w:val="009E73F4"/>
    <w:rsid w:val="00A20396"/>
    <w:rsid w:val="00A2728B"/>
    <w:rsid w:val="00A82ACB"/>
    <w:rsid w:val="00B85EA8"/>
    <w:rsid w:val="00BE60EA"/>
    <w:rsid w:val="00C30BCF"/>
    <w:rsid w:val="00CE2C48"/>
    <w:rsid w:val="00E149CE"/>
    <w:rsid w:val="00E9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0EA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5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0EA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5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ctiverain.com/image_store/uploads/2/9/0/5/1/ar122360267415092.jp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activerain.com/image_store/uploads/2/9/0/5/1/ar122360267415092.jpg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2A5D8-4046-46D7-A1B9-6515CB86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29</cp:revision>
  <cp:lastPrinted>2013-05-30T03:45:00Z</cp:lastPrinted>
  <dcterms:created xsi:type="dcterms:W3CDTF">2013-05-26T08:32:00Z</dcterms:created>
  <dcterms:modified xsi:type="dcterms:W3CDTF">2013-05-30T03:48:00Z</dcterms:modified>
</cp:coreProperties>
</file>