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2 № 2.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Ливонская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Смоленская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поход Ермака в Сибирь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поход Ивана III на Великий Новгород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В 1471 г. Иван III совершил поход на Великий Новгород с целью присоединения к Москве. Ливонская война была в 1558—1583 гг. Поход Ермака в Сибирь был совершен в 1581—1584 гг. Смоленская война была в 1632—1634 гг.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41.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С каким событием в истории России связано начало правления династии Рюриковичей?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c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походом князя Олега на Киев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 призванием варягов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 крещением Руси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с изданием Русской правды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Начало правления династии Рюриковичей связано с призванием варягов в 862 году в Новгород. Все русские князья и цари (1598 г.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)с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читали себя потомками легендарного князя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Рюрика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>. Поход Олега на Киев (882 г.), крещение Руси (988 г.), издание Русской правды (XI-XII вв.) —  это события, связанные с историей первого государства —  Древняя Русь.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80.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Кто из названных лиц были выдающимися деятелями 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А. Ф. Адашев, митрополит Макарий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) A. Л.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Ордин-Нащокин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>, патриарх Никон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Г. А. Потёмкин, Феофан Прокопович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И. И. Шувалов, Иосиф Волоцкий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Выдающимися деятелями XVI века были А. Ф. Адашев и митрополит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Макарий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Они входили в состав Избранной Рады — неофициального правительства Ивана Грозного. A. Л.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Ордин-Нащокин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>, патриарх Никон — исторические личности XVII века. Г. А. Потемкин, Феофан Прокопович, И. И. Шувалов — государственные деятели XVIII века. Иосиф Волоцкий — церковный деятель XV века.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119.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Какой из названных племенных союзов, по данным «Повести временных лет», жил на западном берегу Днепра?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поляне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кривичи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вятичи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дреговичи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На западном берегу Днепра жили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дреговичи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.П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оляне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жили в Среднем Приднепровье. Кривичи — в верховье Днепра. Вятичи — в междуречье Оки и Волги.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140.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Первым царём, получившим престол в результате избрания Земским собором, был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Борис Годунов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Фёдор Годунов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Василий Шуйский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4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Михаил Романов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В 1598 году со смертью Федор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а Иоа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нновича прервалась династия Рюриковичей. В 1598 году на Земском Соборе царем был избран Борис Годунов. Это был первый случай избрания царя на престол. Также на Земском Соборе царем был избран Михаил Романов, но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зто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случилось позднее - в 1613 году.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179.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Кто из названных князей пригласил в 1147 г. Святослава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Ольговича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«в город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Москов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>» на пир?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Владимир Мономах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2) Андрей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Боголюбский</w:t>
      </w:r>
      <w:proofErr w:type="spellEnd"/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Юрий Долгорукий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4)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В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Ипатьевской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летописи приводится фа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кт встр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ечи в 1147 году в Москве князя Святослава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Ольговича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и Юрия Долгорукого (1125—1157 гг.). 1147 год считают годом первого упоминания о Москве в летописи, а князя Юрия Долгорукого — основателем Москвы.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218.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Существовавший в России в XV—XVII вв. порядок назначения должностных лиц по знатности их рода назывался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кормлением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земщиной3) местничеством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вотчиной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В XV—XVII вв. существовал порядок назначения должностных лиц по знатности рода и назывался местничеством. Кормление — это порядок содержания должностных лиц за счет местного населения.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Земщина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 — это территория, которая находилась в боярском владении в период опричнины.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257.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Присоединение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какой территории к России произошло позже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Астраханское ханство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Западная Сибирь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балтийское побережье от Выборга до Риги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Северное Причерноморье</w:t>
      </w:r>
    </w:p>
    <w:p w:rsidR="006A1F28" w:rsidRPr="00E222A3" w:rsidRDefault="00E222A3" w:rsidP="00E222A3">
      <w:pPr>
        <w:spacing w:after="0" w:line="240" w:lineRule="auto"/>
        <w:rPr>
          <w:sz w:val="18"/>
          <w:szCs w:val="18"/>
        </w:rPr>
      </w:pPr>
      <w:r w:rsidRPr="00E222A3">
        <w:rPr>
          <w:color w:val="000000"/>
          <w:sz w:val="18"/>
          <w:szCs w:val="18"/>
          <w:shd w:val="clear" w:color="auto" w:fill="FFFFFF"/>
        </w:rPr>
        <w:t>Северное Причерноморье было присоединено во второй половине XVIII века в результате русско-турецких войн. Астраханское ханство было присоединено в 1556 году. Западная Сибирь вошла в состав России в 1598 году. Балтийское побережье от Выборга до Риги было присоединено в 1710 году.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296.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 XVII в. относится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учреждение Сената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введение «Табели о рангах»3) отмена местничества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создание Земских соборов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В 1682 году (XVII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.)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было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отменено местничество. Земские соборы начали работу в 1549 году. Учреждение Сената, введение «Табели о рангах» относится к событиям первой четверти XVIII века.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335.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Какое из указанных событий произошло в XV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принятие первого общерусского Судебника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учреждение патриаршества3) созыв Земского собора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перенос в Москву резиденции митрополита</w:t>
      </w:r>
      <w:proofErr w:type="gram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В 1497 году (XV в.) был принят первый общерусский Судебник при князе Иване III. Учреждение патриаршества произошло в 1589 г. (XVI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.). Созыв Земского собора состоялся в 1549 г. (XVI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.). 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Резиденция митрополита в Москву была перенесена в 1326 г. (XIV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.).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374.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 XVII в. относится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учреждение Верховного тайного совета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введение подушной подати3) создание Приказа тайных дел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отмена кормлений</w:t>
      </w:r>
      <w:proofErr w:type="gram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В XVII веке при царе Алексее Михайловиче был создан Приказ тайных дел. Отмена кормлений произошла в XVI веке. Учреждение Верховного тайного совета, введение подушной подати относятся к событиям XVIII века. 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413.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перечисленных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основание Казанского университета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открытие Царскосельского лицея3) открытие высших женских курсов при Александре II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учреждение Славяно-греко-латинской академии</w:t>
      </w:r>
      <w:proofErr w:type="gram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Славяно-греко-латинская академия была открыта в 1687 году. Остальные учебные заведения были открыты в XIX веке.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452.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Ливонская война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Смоленская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поход Ермака в Сибирь4) стояние на реке Угре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lastRenderedPageBreak/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Раньше других произошло «Стояние на реке Угре» в 1480 году. Ливонская война была в 1558—1583 гг. Поход Ермака в Сибирь проходил в 1581—1584 гг. Смоленская война была в 1632—1634 гг.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491.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событий, являющихся этапами процесса закрепощения крестьян, произошло позже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установление Юрьева дня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введение «урочных лет»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введение «заповедных лет»4) введение бессрочного сыска беглых крестьян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Позже всех других был введен бессрочный срок розыска беглых крестьян Соборным Уложением 1649 года. Юрьев день был установлен Судебником 1497 года. «Урочные лета» введены в 1597 году. «Заповедные лета» введены в 1581 году.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530.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Что из названного произошло в 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крестьянская война под руководством Е. Пугачёва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церковный раскол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Семилетняя война4) введение опричнины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В XVII веке произошел церковный раскол в результате реформ патриарха Никона. Опричнина была введена в XVI веке. Семилетняя война и крестьянская война под руководством Е. Пугачева относятся к событиям XVIII века.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569.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Какое из названных событий произошло в XIV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1) начало Ливонской войны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введение «урочных лет»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созыв первого Земского собора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Куликовская битва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8 сентября 1380 года (XIV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.) произошла Куликовская битва. Ливонская война началась в 1558 году(XVI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.). «Урочные лета» были введены в 1597 году (XVI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.). Первый Земский собор был созван в 1549 году (XVI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.).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608.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Какое из названных событий относится к XVI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Северная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Ливонская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Семилетняя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Смоленская война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К событиям XVI относится Ливонская война (1558—1583 гг.). Северная война была в 1700—1721 гг. Семилетняя война — 1756—1763 гг. Смоленская война — 1632—1634 гг.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647.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Князь Иван Данилович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вошел в историю как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победитель монголо-татар2) «собиратель земли русской»3) автор «Русской правды»4) автор «Указа об урочных летах»</w:t>
      </w:r>
      <w:proofErr w:type="gram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вошел в историю как «собиратель русских земель», так как в период его княжения в XIV веке территория Московского княжества стала расширяться за счет присоединения русских земель. Победителем монголо-татар был князь Дмитрий Донской. Автором «Русской правды» был Ярослав Мудрый. «Указ об урочных летах» принят в правление Федор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а Иоа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нновича.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686.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Кто стоял во главе русских войск, одержавших победу на льду Чудского озера?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Дмитрий Донской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Александр Невский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Святослав Игоревич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4)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Во главе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русских войск, одержавших победу на льду Чудского озера 5 апреля 1242 года стоял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князь Александр Невский. Дмитрий Донской одержал победу на Куликовом поле в 1380 году. Святослав Игоревич разгромил хазар в 966 году.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громких военных побед не одерживал.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725.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Какой ряд дат связан с царствованием Ивана III?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862 г., 882 г., 907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1223 г., 1240 г., 1242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1325 г., 1327 г., 1340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1480 г., 1485 г., 1497 г.</w:t>
      </w:r>
      <w:proofErr w:type="gramEnd"/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С правлением Ивана III (1462—1505 гг.) связаны окончательное свержение ордынского ига в 1480 году, присоединение к Москве Твери в 1485 году и принятие титула «Государя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сея Руси», принятие Судебника в 1497 году.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764.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Кто из московских князей первым получил право сбора дани в пользу Орды со всех русских земель?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Иван Калита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Андрей Боголюбский3) Юрий Долгорукий4) Василий II Темный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Первым из князей право сбора дани в пользу Орды получил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после подавления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антиордынского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восстания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в Твери в 1327 году. Князья Андрей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Боголюбский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и Юрий Долгорукий правили в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домонгольской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Руси.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Василий II Темный был потомком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803.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Главными соперниками московских князей в борьбе за великое княжение в XIV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были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правители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Тверского княжества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Новгорода Великого3) Рязанского княжества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Переяславского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княжества</w:t>
      </w:r>
      <w:proofErr w:type="gramEnd"/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Москва и Тверь в XIV веке стали крупными центрами объединения русских земель и соперничали друг с другом в борьбе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за ярлык, который давал право на великое княжение. Остальные земли в период раздробленности не играли ведущей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роли в этой борьбе.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842.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Кто из названых правителей первым принял титул «Государя всея Руси»?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1)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Дмитрий Донской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Иван III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Василий II Темный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Первым принял титул «Государя всея Руси» в 1485 году Иван III после присоединения к Москве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Тверского княжества — давнего соперника Москвы в борьбе за ярлык.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, Дмитрий Донской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правили раньше и такого титула не имели.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881.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Территория Московского государства в 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расширилась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за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счет присоединения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Казанского ханства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Северного Причерноморья3) Левобережной Украины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4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Правобережной Украины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Территория Московского государства в XVII веке расширилась за счет присоединения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Левобережной Украины (1667 год). Казанское ханство было присоединено в XVI веке. Северное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Причерноморье и Правобережная Украина вошли в состав Российской империи в XVIII веке.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920.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В XVII веке к России была присоединена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Левобережная Украина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Крым, Причерноморье3) Восточная Грузия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4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Казанское ханство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Левобережная Украина вошла в состав России в результате войны с Польшей согласно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Андрусовскому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перемирию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1667 года и Вечному миру 1686 года. Казанское ханство было присоединено в XVI веке. Крым и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Северное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Причерноморье — в XVIII веке. Восточная Грузия — в XIX веке.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lastRenderedPageBreak/>
        <w:t>A2 № 959.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Князь Иван Данилович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вошёл в историю как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«собиратель земли русской»2) победитель монголо-татар3) автор «Русской правды»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автор «Указа о заповедных летах»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End"/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Князь Иван Данилович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вошёл в историю как «собиратель земли русской». Он получил в Орде ярлык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на великое княжение и стал проводить политику присоединения русских земель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.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и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спользуя при этом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различные способы — конфискацию, покупку земель.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998.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разгром немецких рыцарей на Чудском озере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) разгром шведских войск на реке Неве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3) разорение монголо-татарами Рязанского и Владимиро-Суздальского княжеств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Куликовская битва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Раньше других произошло разорение монголо-татарами Рязанского и Владимиро-Суздальского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княжеств — 1237—1238 гг. Разгром немецких рыцарей на Чудском озере произошел в 1242 г.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Разгром шведских войск на реке Неве — в 1240 г. Куликовская битва произошла в 1380 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1037.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взятие Казани войсками Ивана Грозного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Ливонская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правление Василия Шуйского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присоединение к Москве Тверского княжества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Раньше других произошло присоединение к Москве Тверского княжества — в 1485 г. В 1552 г. было взятие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Казани войсками Ивана Грозного. Ливонская война проходила с 1558 по 1583 гг. Правление Василия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Шуйского приходится на период 1606—1610 гг.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1077.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Куликовская битва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присоединение Твери к Москве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3) поход хана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Тохтамыша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на Москву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начало княжения Василия II Тёмного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Раньше других произошла Куликовская битва — в 1380 г. Присоединение Твери к Москве было в 1485 г.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Поход хана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Тохтамыша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на Москву был в 1382 г. Начало княжения Василия II Тёмного относится к 1425 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1116.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стояние на реке Угре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вступление на престол Ивана III3) создание стрелецкого войска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присоединение Пскова к Москве</w:t>
      </w:r>
      <w:proofErr w:type="gramEnd"/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Ранее других произошло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встуление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на престол Ивана III в 1462 году. В период его правления было стояние на реке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Угре в 1480 году. В 1550 году было создано стрелецкое войско. В 1510 году Псков был присоединен к Москве.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1156.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Имена Ивана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Болотникова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>, Василия Шуйского, польского королевича Владислава связаны с событиями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Смуты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Ливонской войны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опричнины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боярского правления в малолетство Ивана Грозного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Имена Ивана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Болотникова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, Василия Шуйского, польского королевича Владислава связаны с событиями Смуты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1598—1613 гг. Иван Болотников был руководителем крестьянского восстания в 1606—1607 гг. Царь Василий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Шуйский правил в 1606—1610 гг. Польский королевич Владислав был претендентом на русский престол.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1199.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Территория Московского государства в 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расширилась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за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счёт присоединения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Казанского ханства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Северного Причерноморья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Левобережной Украины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Правобережной Украины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Территория Московского государства в 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расширилась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за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счёт присоединения Левобережной Украины в 1667 году.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Казанское ханство было присоединено в XVI веке. Северное Причерноморье и Правобережная Украина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присоединены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 XVIII веке.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1250.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Бессрочный сыск беглых крестьян был узаконен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Судебником 1497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Судебником 1550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Соборным уложением 1649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указом 1581 г.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Бессрочный срок розыска беглых крестьян был установлен Соборным уложением 1649 года, отменившим урочные лета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Судебники 1497 г. и 1550 г. ограничили срок крестьянского перехода. Указом 1581 года Иван Грозный ввел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«заповедные лета».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1406.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перечисленных государственных образований вошло в состав России последним?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Астраханское ханство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Крымское ханство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Сибирское ханство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Казанское ханство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Крымское ханство было присоединено к России в 1783 г. Астраханское ханство присоединено в 1556 г.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Сибирское ханство — в 1598 г. Казанское ханство — в 1552 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1445.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 назывался в России XVI—XVII вв. денежный сбор с крестьян при их уходе от одного землевладельца к другому, который был отменен с принятием Соборного уложения 1649 г.? 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оброк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пожилое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ясак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 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недоимки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Судебник 1497 г. впервые в общегосударственном масштабе ограничил срок перехода крестьян от одного владельца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к другому Юрьевым днем и ввел плату при их уходе, которое называлось пожилое. Оброк, ясак, недоимки </w:t>
      </w:r>
      <w:r>
        <w:rPr>
          <w:rFonts w:eastAsia="Times New Roman"/>
          <w:color w:val="000000"/>
          <w:sz w:val="18"/>
          <w:szCs w:val="18"/>
          <w:lang w:eastAsia="ru-RU"/>
        </w:rPr>
        <w:t>–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повинности податного населения.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1769.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названных событий произошло раньше других?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Ливонская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Смоленская война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поход Ермака в Сибирь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поход Ивана III на Великий Новгород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Поход Ивана III на Великий Новгород произошел в 1471 году и завершился присоединением Новгорода к Москве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Ливонская война 1558—1583 гг. и поход Ермака в Сибирь 1581—1584 гг. относятся к правлению Ивана IV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Грозного. Смоленская война 1632—1634 гг. произошла в правление Михаила Федоровича.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2304.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Какое событие произошло в XIII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.?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lastRenderedPageBreak/>
        <w:br/>
        <w:t xml:space="preserve">1) созыв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Любечского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съезда князей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составление «Русской правды»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3) поход хана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Тохтамыша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на Москву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установление монгольского владычества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Установление монгольского владычества произошло в XIII в. после нашествия Батыя на Русь. Созыв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Любечского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съезда князей произошел в 1097 г.(XI в. )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,с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оставление «Русской правды» относится к XI в. ,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поход хана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Тохтамыша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на Москву состоялся в 1382 году (XIV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.).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2381.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Кто стоял во главе русских войск, одержавших победу в битве на р.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Воже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>?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Дмитрий Донской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Александр Невский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Святослав Игоревич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4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) Иван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Калита</w:t>
      </w:r>
      <w:proofErr w:type="spellEnd"/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На реке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Воже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 1378 году была одержана победа под руководством Дмитрия Донского, который правил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 Москве в 1359-1389 гг.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2421.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Какой ряд дат связан с процессом объединения (собирания) русских земель вокруг Москвы?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1) 1581 г., 1597 г., 1649 г. 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  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1478 г., 1485 г., 1521 г. 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1378 г., 1382 г., 1480 г. 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4) 1497 г., 1550 г., 1649 г.</w:t>
      </w:r>
      <w:proofErr w:type="gramEnd"/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С процессом объединения (собирания) русских земель вокруг Москвы связаны 1478 г. - присоединение Новгорода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1485 г. - присоединение Твери, 1521 г. - присоединение Рязани.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2541.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 Территория Московского государства в 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расширилась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за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счёт присоединения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Казанского ханства 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2) Северного Причерноморья 3) Левобережной Украины 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Правобережной Украины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 xml:space="preserve">Территория Московского государства в XVII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 расширилась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за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счёт присоединения Левобережной Украины 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по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Андрусовскому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перемирию 1667 г. и Вечному миру 1686 г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.с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Польшей. Казанское ханство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было присоединено в 1552 г. (XVI в.), Северное Причерноморье и Правобережная Украина в XVIII 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>в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.</w:t>
      </w:r>
    </w:p>
    <w:p w:rsidR="00E222A3" w:rsidRP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A2 № 2581.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 Какое из событий произошло раньше других?</w:t>
      </w:r>
    </w:p>
    <w:p w:rsidR="00E222A3" w:rsidRPr="00E222A3" w:rsidRDefault="00E222A3" w:rsidP="00E222A3">
      <w:pPr>
        <w:spacing w:before="75"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>1) подписание «Вечного мира» с Польшей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Прутский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поход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t>3) создание стрелецкого войска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4) учреждение в России патриаршества</w:t>
      </w:r>
    </w:p>
    <w:p w:rsidR="00E222A3" w:rsidRDefault="00E222A3" w:rsidP="00E222A3">
      <w:pPr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E222A3">
        <w:rPr>
          <w:rFonts w:eastAsia="Times New Roman"/>
          <w:b/>
          <w:bCs/>
          <w:color w:val="000000"/>
          <w:sz w:val="18"/>
          <w:szCs w:val="18"/>
          <w:lang w:eastAsia="ru-RU"/>
        </w:rPr>
        <w:t>Пояснение.</w:t>
      </w:r>
      <w:r w:rsidRPr="00E222A3">
        <w:rPr>
          <w:rFonts w:eastAsia="Times New Roman"/>
          <w:color w:val="000000"/>
          <w:sz w:val="18"/>
          <w:szCs w:val="18"/>
          <w:lang w:eastAsia="ru-RU"/>
        </w:rPr>
        <w:br/>
        <w:t>Раньше других произошло создание стрелецкого войска - в 1550 г</w:t>
      </w:r>
      <w:proofErr w:type="gramStart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.. </w:t>
      </w:r>
      <w:proofErr w:type="gramEnd"/>
      <w:r w:rsidRPr="00E222A3">
        <w:rPr>
          <w:rFonts w:eastAsia="Times New Roman"/>
          <w:color w:val="000000"/>
          <w:sz w:val="18"/>
          <w:szCs w:val="18"/>
          <w:lang w:eastAsia="ru-RU"/>
        </w:rPr>
        <w:t>Учреждение в России патриаршества произошло</w:t>
      </w:r>
    </w:p>
    <w:p w:rsidR="00E222A3" w:rsidRPr="00E222A3" w:rsidRDefault="00E222A3" w:rsidP="00E222A3">
      <w:pPr>
        <w:spacing w:after="0" w:line="240" w:lineRule="auto"/>
        <w:rPr>
          <w:sz w:val="18"/>
          <w:szCs w:val="18"/>
        </w:rPr>
      </w:pPr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в 1589 г., подписание «Вечного мира» с Польшей - в 1686 г., </w:t>
      </w:r>
      <w:proofErr w:type="spellStart"/>
      <w:r w:rsidRPr="00E222A3">
        <w:rPr>
          <w:rFonts w:eastAsia="Times New Roman"/>
          <w:color w:val="000000"/>
          <w:sz w:val="18"/>
          <w:szCs w:val="18"/>
          <w:lang w:eastAsia="ru-RU"/>
        </w:rPr>
        <w:t>Прутский</w:t>
      </w:r>
      <w:proofErr w:type="spellEnd"/>
      <w:r w:rsidRPr="00E222A3">
        <w:rPr>
          <w:rFonts w:eastAsia="Times New Roman"/>
          <w:color w:val="000000"/>
          <w:sz w:val="18"/>
          <w:szCs w:val="18"/>
          <w:lang w:eastAsia="ru-RU"/>
        </w:rPr>
        <w:t xml:space="preserve"> поход - в 1711 г.</w:t>
      </w:r>
    </w:p>
    <w:p w:rsidR="00E222A3" w:rsidRPr="00E222A3" w:rsidRDefault="00E222A3" w:rsidP="00E222A3">
      <w:pPr>
        <w:spacing w:after="0" w:line="240" w:lineRule="auto"/>
        <w:rPr>
          <w:sz w:val="18"/>
          <w:szCs w:val="18"/>
        </w:rPr>
      </w:pPr>
    </w:p>
    <w:sectPr w:rsidR="00E222A3" w:rsidRPr="00E222A3" w:rsidSect="00E222A3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22A3"/>
    <w:rsid w:val="00093EB4"/>
    <w:rsid w:val="00130FF0"/>
    <w:rsid w:val="003A515C"/>
    <w:rsid w:val="005C0E8D"/>
    <w:rsid w:val="006A1F28"/>
    <w:rsid w:val="0093388A"/>
    <w:rsid w:val="009A7741"/>
    <w:rsid w:val="00BA409D"/>
    <w:rsid w:val="00D77CA9"/>
    <w:rsid w:val="00E222A3"/>
    <w:rsid w:val="00F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C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7CA9"/>
    <w:pPr>
      <w:keepNext/>
      <w:spacing w:after="0"/>
      <w:jc w:val="both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5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A5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A5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A5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51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A51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A51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A51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A9"/>
    <w:rPr>
      <w:rFonts w:eastAsiaTheme="majorEastAsia" w:cstheme="majorBidi"/>
      <w:bCs/>
      <w:kern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3A51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A51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3A515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A51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3A515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3A51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caption"/>
    <w:basedOn w:val="a"/>
    <w:next w:val="a"/>
    <w:semiHidden/>
    <w:unhideWhenUsed/>
    <w:qFormat/>
    <w:rsid w:val="003A5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3A5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A5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qFormat/>
    <w:rsid w:val="003A5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rsid w:val="003A5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basedOn w:val="a0"/>
    <w:qFormat/>
    <w:rsid w:val="003A515C"/>
    <w:rPr>
      <w:b/>
      <w:bCs/>
    </w:rPr>
  </w:style>
  <w:style w:type="character" w:styleId="a9">
    <w:name w:val="Emphasis"/>
    <w:basedOn w:val="a0"/>
    <w:rsid w:val="009A7741"/>
    <w:rPr>
      <w:rFonts w:ascii="Times New Roman" w:hAnsi="Times New Roman"/>
      <w:iCs/>
      <w:sz w:val="28"/>
    </w:rPr>
  </w:style>
  <w:style w:type="paragraph" w:styleId="aa">
    <w:name w:val="No Spacing"/>
    <w:uiPriority w:val="1"/>
    <w:qFormat/>
    <w:rsid w:val="003A515C"/>
    <w:rPr>
      <w:rFonts w:ascii="Calibri" w:hAnsi="Calibri"/>
      <w:sz w:val="22"/>
      <w:lang w:eastAsia="en-US"/>
    </w:rPr>
  </w:style>
  <w:style w:type="paragraph" w:styleId="ab">
    <w:name w:val="List Paragraph"/>
    <w:basedOn w:val="a"/>
    <w:uiPriority w:val="34"/>
    <w:qFormat/>
    <w:rsid w:val="003A51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51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515C"/>
    <w:rPr>
      <w:rFonts w:ascii="Calibri" w:hAnsi="Calibri" w:cs="Calibr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3A5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515C"/>
    <w:rPr>
      <w:rFonts w:ascii="Calibri" w:hAnsi="Calibri" w:cs="Calibr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3A51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51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51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51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51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515C"/>
    <w:pPr>
      <w:outlineLvl w:val="9"/>
    </w:pPr>
  </w:style>
  <w:style w:type="character" w:customStyle="1" w:styleId="apple-converted-space">
    <w:name w:val="apple-converted-space"/>
    <w:basedOn w:val="a0"/>
    <w:rsid w:val="00E222A3"/>
  </w:style>
  <w:style w:type="character" w:styleId="af4">
    <w:name w:val="Hyperlink"/>
    <w:basedOn w:val="a0"/>
    <w:uiPriority w:val="99"/>
    <w:semiHidden/>
    <w:unhideWhenUsed/>
    <w:rsid w:val="00E222A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222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7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74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3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5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1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038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8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5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9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8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3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34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4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0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0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2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6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0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7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7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81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0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99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9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4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7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5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4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6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9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3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5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9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8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8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7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2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2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3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1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4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3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8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9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77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0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1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3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6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2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8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6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7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5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1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7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7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0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3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6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3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30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9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3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5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7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5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7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2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5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2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18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17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6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5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4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55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3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2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55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2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96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5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6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5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6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3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1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32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6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2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0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9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6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1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5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6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1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8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0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6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6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24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39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6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0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4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7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9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7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6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9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2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1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00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8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9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6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4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3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5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4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6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92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8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97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1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3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8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1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0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4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1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4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3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75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4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8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3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4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1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7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6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4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8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6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4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2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0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7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6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51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60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4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8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43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3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04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8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5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7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1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13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4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58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8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1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4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8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1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8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5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84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5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1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0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2610</Words>
  <Characters>14879</Characters>
  <Application>Microsoft Office Word</Application>
  <DocSecurity>0</DocSecurity>
  <Lines>123</Lines>
  <Paragraphs>34</Paragraphs>
  <ScaleCrop>false</ScaleCrop>
  <Company>Microsoft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cp:lastPrinted>2013-04-29T10:50:00Z</cp:lastPrinted>
  <dcterms:created xsi:type="dcterms:W3CDTF">2013-04-29T10:38:00Z</dcterms:created>
  <dcterms:modified xsi:type="dcterms:W3CDTF">2013-04-29T10:50:00Z</dcterms:modified>
</cp:coreProperties>
</file>