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37" w:rsidRDefault="000A1C37" w:rsidP="000A1C37">
      <w:pPr>
        <w:jc w:val="both"/>
      </w:pPr>
      <w:r>
        <w:t xml:space="preserve">                    </w:t>
      </w:r>
      <w:r w:rsidRPr="0008390F">
        <w:t xml:space="preserve">Специфика современного мира состоит в том, что он меняется всё более быстрыми темпами. Каждые десять  лет объём информации в мире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w:t>
      </w:r>
      <w:proofErr w:type="gramStart"/>
      <w:r w:rsidRPr="0008390F">
        <w:t>становятся</w:t>
      </w:r>
      <w:proofErr w:type="gramEnd"/>
      <w:r w:rsidRPr="0008390F">
        <w:t xml:space="preserve"> сегодня  всё более востребованными. Исходя</w:t>
      </w:r>
      <w:r>
        <w:t xml:space="preserve"> из этого,  Федеральный государ</w:t>
      </w:r>
      <w:r w:rsidRPr="0008390F">
        <w:t>ственный образовательный стандарт начального общего образования определил в качестве главных результатов не предметные, а лично</w:t>
      </w:r>
      <w:r>
        <w:t xml:space="preserve">стные и </w:t>
      </w:r>
      <w:proofErr w:type="spellStart"/>
      <w:r>
        <w:t>метапредметные</w:t>
      </w:r>
      <w:proofErr w:type="spellEnd"/>
      <w:r>
        <w:t xml:space="preserve"> универсальные учебные действия: </w:t>
      </w:r>
      <w:r w:rsidRPr="0008390F">
        <w:t>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w:t>
      </w:r>
      <w:r>
        <w:t>овершенствованию.</w:t>
      </w:r>
    </w:p>
    <w:p w:rsidR="000A1C37" w:rsidRDefault="000A1C37" w:rsidP="000A1C37">
      <w:pPr>
        <w:jc w:val="both"/>
      </w:pPr>
    </w:p>
    <w:p w:rsidR="000A1C37" w:rsidRDefault="000A1C37" w:rsidP="000A1C37">
      <w:pPr>
        <w:autoSpaceDE w:val="0"/>
        <w:autoSpaceDN w:val="0"/>
        <w:adjustRightInd w:val="0"/>
        <w:spacing w:before="120" w:after="120"/>
        <w:jc w:val="both"/>
      </w:pPr>
      <w:r>
        <w:t xml:space="preserve">                    </w:t>
      </w:r>
      <w:r w:rsidRPr="0008390F">
        <w:t xml:space="preserve">Под </w:t>
      </w:r>
      <w:proofErr w:type="spellStart"/>
      <w:r w:rsidRPr="0008390F">
        <w:t>общеучебными</w:t>
      </w:r>
      <w:proofErr w:type="spellEnd"/>
      <w:r w:rsidRPr="0008390F">
        <w:t xml:space="preserve"> умениями мы понимаем умения, универсальные для всех школьных предметов и основных сфер человеческой деятельности. Универсальные учебные действия (УУД) – это обобщённые действия, обеспечивающие умение учиться.</w:t>
      </w:r>
    </w:p>
    <w:p w:rsidR="000A1C37" w:rsidRPr="00837665" w:rsidRDefault="000A1C37" w:rsidP="000A1C37">
      <w:pPr>
        <w:autoSpaceDE w:val="0"/>
        <w:autoSpaceDN w:val="0"/>
        <w:adjustRightInd w:val="0"/>
        <w:spacing w:before="120" w:after="120"/>
        <w:jc w:val="both"/>
      </w:pPr>
    </w:p>
    <w:p w:rsidR="000A1C37" w:rsidRDefault="000A1C37" w:rsidP="000A1C37">
      <w:pPr>
        <w:autoSpaceDE w:val="0"/>
        <w:autoSpaceDN w:val="0"/>
        <w:adjustRightInd w:val="0"/>
        <w:spacing w:before="120" w:after="120"/>
        <w:jc w:val="center"/>
        <w:rPr>
          <w:rFonts w:ascii="Arial" w:hAnsi="Arial" w:cs="Arial"/>
          <w:b/>
          <w:bCs/>
        </w:rPr>
      </w:pPr>
      <w:r w:rsidRPr="00837665">
        <w:rPr>
          <w:rFonts w:ascii="Arial" w:hAnsi="Arial" w:cs="Arial"/>
          <w:b/>
          <w:bCs/>
        </w:rPr>
        <w:t xml:space="preserve">Сравнение подходов к выделению личностных и </w:t>
      </w:r>
      <w:proofErr w:type="spellStart"/>
      <w:r w:rsidRPr="00837665">
        <w:rPr>
          <w:rFonts w:ascii="Arial" w:hAnsi="Arial" w:cs="Arial"/>
          <w:b/>
          <w:bCs/>
        </w:rPr>
        <w:t>метапредметных</w:t>
      </w:r>
      <w:proofErr w:type="spellEnd"/>
      <w:r w:rsidRPr="00837665">
        <w:rPr>
          <w:rFonts w:ascii="Arial" w:hAnsi="Arial" w:cs="Arial"/>
          <w:b/>
          <w:bCs/>
        </w:rPr>
        <w:t xml:space="preserve"> результатов </w:t>
      </w:r>
      <w:r w:rsidRPr="00837665">
        <w:rPr>
          <w:rFonts w:ascii="Arial" w:hAnsi="Arial" w:cs="Arial"/>
          <w:b/>
          <w:bCs/>
        </w:rPr>
        <w:br/>
        <w:t>в материалах ФГОС и в Образовательной системе «Школа 2100»</w:t>
      </w:r>
    </w:p>
    <w:p w:rsidR="000A1C37" w:rsidRPr="00837665" w:rsidRDefault="000A1C37" w:rsidP="000A1C37">
      <w:pPr>
        <w:autoSpaceDE w:val="0"/>
        <w:autoSpaceDN w:val="0"/>
        <w:adjustRightInd w:val="0"/>
        <w:spacing w:before="120" w:after="120"/>
        <w:jc w:val="center"/>
        <w:rPr>
          <w:rFonts w:ascii="Arial" w:hAnsi="Arial" w:cs="Arial"/>
          <w:b/>
          <w:bCs/>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4860"/>
      </w:tblGrid>
      <w:tr w:rsidR="000A1C37" w:rsidRPr="0008390F" w:rsidTr="001A34A0">
        <w:tc>
          <w:tcPr>
            <w:tcW w:w="4860" w:type="dxa"/>
          </w:tcPr>
          <w:p w:rsidR="000A1C37" w:rsidRPr="0008390F" w:rsidRDefault="000A1C37" w:rsidP="001A34A0">
            <w:pPr>
              <w:autoSpaceDE w:val="0"/>
              <w:autoSpaceDN w:val="0"/>
              <w:adjustRightInd w:val="0"/>
              <w:jc w:val="both"/>
              <w:rPr>
                <w:rFonts w:ascii="Arial" w:hAnsi="Arial" w:cs="Arial"/>
                <w:b/>
                <w:szCs w:val="22"/>
              </w:rPr>
            </w:pPr>
            <w:r w:rsidRPr="0008390F">
              <w:rPr>
                <w:rFonts w:ascii="Arial" w:hAnsi="Arial" w:cs="Arial"/>
                <w:b/>
                <w:szCs w:val="22"/>
              </w:rPr>
              <w:t>Система личностных результатов и универсальных учебных действий (УУД) в рамках нового стандарта</w:t>
            </w:r>
          </w:p>
        </w:tc>
        <w:tc>
          <w:tcPr>
            <w:tcW w:w="4860" w:type="dxa"/>
          </w:tcPr>
          <w:p w:rsidR="000A1C37" w:rsidRPr="0008390F" w:rsidRDefault="000A1C37" w:rsidP="001A34A0">
            <w:pPr>
              <w:autoSpaceDE w:val="0"/>
              <w:autoSpaceDN w:val="0"/>
              <w:adjustRightInd w:val="0"/>
              <w:jc w:val="both"/>
              <w:rPr>
                <w:rFonts w:ascii="Arial" w:hAnsi="Arial" w:cs="Arial"/>
                <w:b/>
                <w:szCs w:val="22"/>
              </w:rPr>
            </w:pPr>
            <w:r w:rsidRPr="0008390F">
              <w:rPr>
                <w:rFonts w:ascii="Arial" w:hAnsi="Arial" w:cs="Arial"/>
                <w:b/>
                <w:szCs w:val="22"/>
              </w:rPr>
              <w:t xml:space="preserve">Система </w:t>
            </w:r>
            <w:proofErr w:type="spellStart"/>
            <w:r w:rsidRPr="0008390F">
              <w:rPr>
                <w:rFonts w:ascii="Arial" w:hAnsi="Arial" w:cs="Arial"/>
                <w:b/>
                <w:szCs w:val="22"/>
              </w:rPr>
              <w:t>общеучебных</w:t>
            </w:r>
            <w:proofErr w:type="spellEnd"/>
            <w:r w:rsidRPr="0008390F">
              <w:rPr>
                <w:rFonts w:ascii="Arial" w:hAnsi="Arial" w:cs="Arial"/>
                <w:b/>
                <w:szCs w:val="22"/>
              </w:rPr>
              <w:t xml:space="preserve"> умений в Образовательной системе «Школа 2100» (</w:t>
            </w:r>
            <w:smartTag w:uri="urn:schemas-microsoft-com:office:smarttags" w:element="metricconverter">
              <w:smartTagPr>
                <w:attr w:name="ProductID" w:val="2004 г"/>
              </w:smartTagPr>
              <w:r w:rsidRPr="0008390F">
                <w:rPr>
                  <w:rFonts w:ascii="Arial" w:hAnsi="Arial" w:cs="Arial"/>
                  <w:b/>
                  <w:szCs w:val="22"/>
                </w:rPr>
                <w:t>2004 г</w:t>
              </w:r>
            </w:smartTag>
            <w:r w:rsidRPr="0008390F">
              <w:rPr>
                <w:rFonts w:ascii="Arial" w:hAnsi="Arial" w:cs="Arial"/>
                <w:b/>
                <w:szCs w:val="22"/>
              </w:rPr>
              <w:t>.)</w:t>
            </w:r>
          </w:p>
        </w:tc>
      </w:tr>
      <w:tr w:rsidR="000A1C37" w:rsidRPr="0008390F" w:rsidTr="001A34A0">
        <w:tc>
          <w:tcPr>
            <w:tcW w:w="4860" w:type="dxa"/>
          </w:tcPr>
          <w:p w:rsidR="000A1C37" w:rsidRPr="0008390F" w:rsidRDefault="000A1C37" w:rsidP="001A34A0">
            <w:pPr>
              <w:jc w:val="both"/>
              <w:rPr>
                <w:rFonts w:ascii="Arial" w:hAnsi="Arial" w:cs="Arial"/>
                <w:szCs w:val="22"/>
              </w:rPr>
            </w:pPr>
            <w:r w:rsidRPr="0008390F">
              <w:rPr>
                <w:rFonts w:ascii="Arial" w:hAnsi="Arial" w:cs="Arial"/>
                <w:szCs w:val="22"/>
              </w:rPr>
              <w:t>Личностные</w:t>
            </w:r>
          </w:p>
        </w:tc>
        <w:tc>
          <w:tcPr>
            <w:tcW w:w="4860" w:type="dxa"/>
          </w:tcPr>
          <w:p w:rsidR="000A1C37" w:rsidRPr="0008390F" w:rsidRDefault="000A1C37" w:rsidP="001A34A0">
            <w:pPr>
              <w:jc w:val="both"/>
              <w:rPr>
                <w:rFonts w:ascii="Arial" w:hAnsi="Arial" w:cs="Arial"/>
                <w:szCs w:val="22"/>
              </w:rPr>
            </w:pPr>
            <w:r w:rsidRPr="0008390F">
              <w:rPr>
                <w:rFonts w:ascii="Arial" w:hAnsi="Arial" w:cs="Arial"/>
                <w:szCs w:val="22"/>
              </w:rPr>
              <w:t>Нравственно-оценочные</w:t>
            </w:r>
          </w:p>
        </w:tc>
      </w:tr>
      <w:tr w:rsidR="000A1C37" w:rsidRPr="0008390F" w:rsidTr="001A34A0">
        <w:tc>
          <w:tcPr>
            <w:tcW w:w="4860" w:type="dxa"/>
          </w:tcPr>
          <w:p w:rsidR="000A1C37" w:rsidRPr="0008390F" w:rsidRDefault="000A1C37" w:rsidP="001A34A0">
            <w:pPr>
              <w:jc w:val="both"/>
              <w:rPr>
                <w:rFonts w:ascii="Arial" w:hAnsi="Arial" w:cs="Arial"/>
                <w:szCs w:val="22"/>
              </w:rPr>
            </w:pPr>
            <w:r w:rsidRPr="0008390F">
              <w:rPr>
                <w:rFonts w:ascii="Arial" w:hAnsi="Arial" w:cs="Arial"/>
                <w:szCs w:val="22"/>
              </w:rPr>
              <w:t>Регулятивные</w:t>
            </w:r>
          </w:p>
        </w:tc>
        <w:tc>
          <w:tcPr>
            <w:tcW w:w="4860" w:type="dxa"/>
          </w:tcPr>
          <w:p w:rsidR="000A1C37" w:rsidRPr="0008390F" w:rsidRDefault="000A1C37" w:rsidP="001A34A0">
            <w:pPr>
              <w:jc w:val="both"/>
              <w:rPr>
                <w:rFonts w:ascii="Arial" w:hAnsi="Arial" w:cs="Arial"/>
                <w:szCs w:val="22"/>
              </w:rPr>
            </w:pPr>
            <w:r w:rsidRPr="0008390F">
              <w:rPr>
                <w:rFonts w:ascii="Arial" w:hAnsi="Arial" w:cs="Arial"/>
                <w:szCs w:val="22"/>
              </w:rPr>
              <w:t>Организационные</w:t>
            </w:r>
          </w:p>
        </w:tc>
      </w:tr>
      <w:tr w:rsidR="000A1C37" w:rsidRPr="0008390F" w:rsidTr="001A34A0">
        <w:tc>
          <w:tcPr>
            <w:tcW w:w="4860" w:type="dxa"/>
          </w:tcPr>
          <w:p w:rsidR="000A1C37" w:rsidRPr="0008390F" w:rsidRDefault="000A1C37" w:rsidP="001A34A0">
            <w:pPr>
              <w:jc w:val="both"/>
              <w:rPr>
                <w:rFonts w:ascii="Arial" w:hAnsi="Arial" w:cs="Arial"/>
                <w:szCs w:val="22"/>
              </w:rPr>
            </w:pPr>
            <w:r w:rsidRPr="0008390F">
              <w:rPr>
                <w:rFonts w:ascii="Arial" w:hAnsi="Arial" w:cs="Arial"/>
                <w:szCs w:val="22"/>
              </w:rPr>
              <w:t>Познавательные</w:t>
            </w:r>
          </w:p>
        </w:tc>
        <w:tc>
          <w:tcPr>
            <w:tcW w:w="4860" w:type="dxa"/>
          </w:tcPr>
          <w:p w:rsidR="000A1C37" w:rsidRPr="0008390F" w:rsidRDefault="000A1C37" w:rsidP="001A34A0">
            <w:pPr>
              <w:jc w:val="both"/>
              <w:rPr>
                <w:rFonts w:ascii="Arial" w:hAnsi="Arial" w:cs="Arial"/>
                <w:szCs w:val="22"/>
              </w:rPr>
            </w:pPr>
            <w:r w:rsidRPr="0008390F">
              <w:rPr>
                <w:rFonts w:ascii="Arial" w:hAnsi="Arial" w:cs="Arial"/>
                <w:szCs w:val="22"/>
              </w:rPr>
              <w:t>Интеллектуальные</w:t>
            </w:r>
          </w:p>
        </w:tc>
      </w:tr>
      <w:tr w:rsidR="000A1C37" w:rsidRPr="0008390F" w:rsidTr="001A34A0">
        <w:tc>
          <w:tcPr>
            <w:tcW w:w="4860" w:type="dxa"/>
          </w:tcPr>
          <w:p w:rsidR="000A1C37" w:rsidRPr="0008390F" w:rsidRDefault="000A1C37" w:rsidP="001A34A0">
            <w:pPr>
              <w:jc w:val="both"/>
              <w:rPr>
                <w:rFonts w:ascii="Arial" w:hAnsi="Arial" w:cs="Arial"/>
                <w:szCs w:val="22"/>
              </w:rPr>
            </w:pPr>
            <w:r w:rsidRPr="0008390F">
              <w:rPr>
                <w:rFonts w:ascii="Arial" w:hAnsi="Arial" w:cs="Arial"/>
                <w:szCs w:val="22"/>
              </w:rPr>
              <w:t>Коммуникативные</w:t>
            </w:r>
          </w:p>
        </w:tc>
        <w:tc>
          <w:tcPr>
            <w:tcW w:w="4860" w:type="dxa"/>
          </w:tcPr>
          <w:p w:rsidR="000A1C37" w:rsidRPr="0008390F" w:rsidRDefault="000A1C37" w:rsidP="001A34A0">
            <w:pPr>
              <w:jc w:val="both"/>
              <w:rPr>
                <w:rFonts w:ascii="Arial" w:hAnsi="Arial" w:cs="Arial"/>
                <w:szCs w:val="22"/>
              </w:rPr>
            </w:pPr>
            <w:r w:rsidRPr="0008390F">
              <w:rPr>
                <w:rFonts w:ascii="Arial" w:hAnsi="Arial" w:cs="Arial"/>
                <w:szCs w:val="22"/>
              </w:rPr>
              <w:t>Коммуникативные</w:t>
            </w:r>
          </w:p>
        </w:tc>
      </w:tr>
    </w:tbl>
    <w:p w:rsidR="000A1C37" w:rsidRPr="0008390F" w:rsidRDefault="000A1C37" w:rsidP="000A1C37">
      <w:pPr>
        <w:autoSpaceDE w:val="0"/>
        <w:autoSpaceDN w:val="0"/>
        <w:adjustRightInd w:val="0"/>
        <w:jc w:val="both"/>
        <w:outlineLvl w:val="0"/>
        <w:rPr>
          <w:rFonts w:ascii="Arial" w:hAnsi="Arial" w:cs="Arial"/>
          <w:bCs/>
          <w:color w:val="800080"/>
          <w:szCs w:val="22"/>
        </w:rPr>
      </w:pPr>
    </w:p>
    <w:p w:rsidR="000A1C37" w:rsidRDefault="000A1C37" w:rsidP="000A1C37">
      <w:pPr>
        <w:jc w:val="center"/>
        <w:rPr>
          <w:b/>
        </w:rPr>
      </w:pPr>
    </w:p>
    <w:p w:rsidR="000A1C37" w:rsidRPr="00837665" w:rsidRDefault="000A1C37" w:rsidP="000A1C37">
      <w:pPr>
        <w:jc w:val="center"/>
        <w:rPr>
          <w:b/>
        </w:rPr>
      </w:pPr>
      <w:r>
        <w:rPr>
          <w:b/>
        </w:rPr>
        <w:t>Л</w:t>
      </w:r>
      <w:r w:rsidRPr="00837665">
        <w:rPr>
          <w:b/>
        </w:rPr>
        <w:t>ичностные универсальные учебные действия</w:t>
      </w:r>
    </w:p>
    <w:p w:rsidR="000A1C37" w:rsidRPr="0008390F" w:rsidRDefault="000A1C37" w:rsidP="000A1C37">
      <w:pPr>
        <w:spacing w:before="120"/>
        <w:ind w:firstLine="284"/>
        <w:jc w:val="both"/>
        <w:outlineLvl w:val="0"/>
      </w:pPr>
      <w:r w:rsidRPr="0008390F">
        <w:rPr>
          <w:b/>
        </w:rPr>
        <w:t>Математика</w:t>
      </w:r>
      <w:r w:rsidRPr="0008390F">
        <w:t xml:space="preserve"> </w:t>
      </w:r>
    </w:p>
    <w:p w:rsidR="000A1C37" w:rsidRPr="0008390F" w:rsidRDefault="000A1C37" w:rsidP="000A1C37">
      <w:pPr>
        <w:ind w:firstLine="284"/>
        <w:jc w:val="both"/>
      </w:pPr>
      <w:r w:rsidRPr="0008390F">
        <w:t>1. Роль  математики как важнейшего  средства к</w:t>
      </w:r>
      <w:r>
        <w:t>оммуникации в формировании рече</w:t>
      </w:r>
      <w:r w:rsidRPr="0008390F">
        <w:t>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0A1C37" w:rsidRPr="0008390F" w:rsidRDefault="000A1C37" w:rsidP="000A1C37">
      <w:pPr>
        <w:ind w:firstLine="284"/>
        <w:jc w:val="both"/>
      </w:pPr>
      <w:r w:rsidRPr="0008390F">
        <w:t>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0A1C37" w:rsidRPr="0008390F" w:rsidRDefault="000A1C37" w:rsidP="000A1C37">
      <w:pPr>
        <w:ind w:firstLine="284"/>
        <w:jc w:val="both"/>
      </w:pPr>
      <w:r w:rsidRPr="0008390F">
        <w:t>2. Наличие в рассматриваемом курсе математики большого числа уроков, построенных на проблемно-диалогической технологии, даё</w:t>
      </w:r>
      <w:r>
        <w:t>т педагогу возможность продемон</w:t>
      </w:r>
      <w:r w:rsidRPr="0008390F">
        <w:t xml:space="preserve">стрировать перед детьми ценность мозгового штурма как формы эффективного интеллектуального взаимодействия. В том случае, если дети научились </w:t>
      </w:r>
      <w:proofErr w:type="gramStart"/>
      <w:r w:rsidRPr="0008390F">
        <w:t>работать</w:t>
      </w:r>
      <w:proofErr w:type="gramEnd"/>
      <w:r w:rsidRPr="0008390F">
        <w:t xml:space="preserve">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0A1C37" w:rsidRPr="0008390F" w:rsidRDefault="000A1C37" w:rsidP="000A1C37">
      <w:pPr>
        <w:ind w:firstLine="284"/>
        <w:jc w:val="both"/>
      </w:pPr>
      <w:r w:rsidRPr="0008390F">
        <w:t>3.</w:t>
      </w:r>
      <w:r w:rsidRPr="0008390F">
        <w:rPr>
          <w:color w:val="FF0000"/>
        </w:rPr>
        <w:t xml:space="preserve"> </w:t>
      </w:r>
      <w:r w:rsidRPr="0008390F">
        <w:t xml:space="preserve">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w:t>
      </w:r>
      <w:r w:rsidRPr="0008390F">
        <w:lastRenderedPageBreak/>
        <w:t xml:space="preserve">2100»,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0A1C37" w:rsidRDefault="000A1C37" w:rsidP="000A1C37">
      <w:pPr>
        <w:ind w:firstLine="284"/>
        <w:jc w:val="both"/>
      </w:pPr>
      <w:r w:rsidRPr="0008390F">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08390F">
        <w:rPr>
          <w:lang w:val="en-US"/>
        </w:rPr>
        <w:t>XVII</w:t>
      </w:r>
      <w:r w:rsidRPr="0008390F">
        <w:t>–</w:t>
      </w:r>
      <w:r w:rsidRPr="0008390F">
        <w:rPr>
          <w:lang w:val="en-US"/>
        </w:rPr>
        <w:t>XIX</w:t>
      </w:r>
      <w:r w:rsidRPr="0008390F">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0A1C37" w:rsidRDefault="000A1C37" w:rsidP="000A1C37">
      <w:pPr>
        <w:ind w:firstLine="284"/>
        <w:jc w:val="both"/>
      </w:pPr>
    </w:p>
    <w:p w:rsidR="000A1C37" w:rsidRPr="0008390F" w:rsidRDefault="000A1C37" w:rsidP="000A1C37">
      <w:pPr>
        <w:ind w:firstLine="284"/>
        <w:jc w:val="both"/>
      </w:pPr>
    </w:p>
    <w:p w:rsidR="000A1C37" w:rsidRPr="0008390F" w:rsidRDefault="000A1C37" w:rsidP="000A1C37">
      <w:pPr>
        <w:spacing w:before="120" w:after="120"/>
        <w:jc w:val="center"/>
        <w:outlineLvl w:val="0"/>
        <w:rPr>
          <w:b/>
        </w:rPr>
      </w:pPr>
      <w:r>
        <w:rPr>
          <w:b/>
        </w:rPr>
        <w:t>Р</w:t>
      </w:r>
      <w:r w:rsidRPr="0008390F">
        <w:rPr>
          <w:b/>
        </w:rPr>
        <w:t>егулятивные универсальные учебные действия</w:t>
      </w:r>
    </w:p>
    <w:p w:rsidR="000A1C37" w:rsidRPr="0008390F" w:rsidRDefault="000A1C37" w:rsidP="000A1C37">
      <w:pPr>
        <w:spacing w:before="120"/>
        <w:ind w:firstLine="284"/>
        <w:jc w:val="both"/>
        <w:outlineLvl w:val="0"/>
      </w:pPr>
      <w:r w:rsidRPr="0008390F">
        <w:rPr>
          <w:b/>
        </w:rPr>
        <w:t>Математика</w:t>
      </w:r>
      <w:r w:rsidRPr="0008390F">
        <w:t xml:space="preserve"> </w:t>
      </w:r>
    </w:p>
    <w:p w:rsidR="000A1C37" w:rsidRPr="0008390F" w:rsidRDefault="000A1C37" w:rsidP="000A1C37">
      <w:pPr>
        <w:pStyle w:val="a3"/>
        <w:spacing w:before="0" w:beforeAutospacing="0" w:after="0" w:afterAutospacing="0"/>
        <w:ind w:firstLine="284"/>
        <w:jc w:val="both"/>
      </w:pPr>
      <w:r w:rsidRPr="0008390F">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0A1C37" w:rsidRPr="0008390F" w:rsidRDefault="000A1C37" w:rsidP="000A1C37">
      <w:pPr>
        <w:pStyle w:val="a3"/>
        <w:spacing w:before="0" w:beforeAutospacing="0" w:after="0" w:afterAutospacing="0"/>
        <w:ind w:firstLine="284"/>
        <w:jc w:val="both"/>
      </w:pPr>
      <w:r w:rsidRPr="0008390F">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0A1C37" w:rsidRDefault="000A1C37" w:rsidP="000A1C37">
      <w:pPr>
        <w:pStyle w:val="a3"/>
        <w:spacing w:before="0" w:beforeAutospacing="0" w:after="0" w:afterAutospacing="0"/>
        <w:ind w:firstLine="284"/>
        <w:jc w:val="both"/>
      </w:pPr>
      <w:r w:rsidRPr="0008390F">
        <w:t>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w:t>
      </w:r>
      <w:r>
        <w:t>ность действий учеников. Обозна</w:t>
      </w:r>
      <w:r w:rsidRPr="0008390F">
        <w:t>ченный рамками в конце всех тем во всех без исключения учебниках главный вывод</w:t>
      </w:r>
      <w:r w:rsidRPr="00457A18">
        <w:t xml:space="preserve"> </w:t>
      </w:r>
      <w:r w:rsidRPr="0008390F">
        <w:t>позволяет проверять и оценивать результат. Проблемные ситуации практически всего курса математики строятся на затруднении в выполне</w:t>
      </w:r>
      <w:r>
        <w:t>нии нового задания, система под</w:t>
      </w:r>
      <w:r w:rsidRPr="0008390F">
        <w:t>водящих диалогов позволяет при этом учащимся сам</w:t>
      </w:r>
      <w:r>
        <w:t>остоятельно, основываясь на име</w:t>
      </w:r>
      <w:r w:rsidRPr="0008390F">
        <w:t>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0A1C37" w:rsidRDefault="000A1C37" w:rsidP="000A1C37">
      <w:pPr>
        <w:pStyle w:val="a3"/>
        <w:spacing w:before="0" w:beforeAutospacing="0" w:after="0" w:afterAutospacing="0"/>
        <w:ind w:firstLine="284"/>
        <w:jc w:val="both"/>
      </w:pPr>
    </w:p>
    <w:p w:rsidR="000A1C37" w:rsidRPr="0008390F" w:rsidRDefault="000A1C37" w:rsidP="000A1C37">
      <w:pPr>
        <w:pStyle w:val="a3"/>
        <w:spacing w:before="0" w:beforeAutospacing="0" w:after="0" w:afterAutospacing="0"/>
        <w:ind w:firstLine="284"/>
        <w:jc w:val="both"/>
      </w:pPr>
    </w:p>
    <w:p w:rsidR="000A1C37" w:rsidRDefault="000A1C37" w:rsidP="000A1C37">
      <w:pPr>
        <w:jc w:val="center"/>
        <w:rPr>
          <w:b/>
        </w:rPr>
      </w:pPr>
      <w:r w:rsidRPr="0008390F">
        <w:rPr>
          <w:b/>
        </w:rPr>
        <w:t>Познавательные универсальные учебные действия</w:t>
      </w:r>
    </w:p>
    <w:p w:rsidR="000A1C37" w:rsidRPr="0008390F" w:rsidRDefault="000A1C37" w:rsidP="000A1C37">
      <w:pPr>
        <w:spacing w:before="120"/>
        <w:ind w:firstLine="284"/>
        <w:jc w:val="both"/>
        <w:outlineLvl w:val="0"/>
      </w:pPr>
      <w:r w:rsidRPr="0008390F">
        <w:rPr>
          <w:b/>
        </w:rPr>
        <w:t>Математика</w:t>
      </w:r>
      <w:r w:rsidRPr="0008390F">
        <w:t xml:space="preserve"> </w:t>
      </w:r>
    </w:p>
    <w:p w:rsidR="000A1C37" w:rsidRPr="0008390F" w:rsidRDefault="000A1C37" w:rsidP="000A1C37">
      <w:pPr>
        <w:ind w:firstLine="284"/>
        <w:jc w:val="both"/>
      </w:pPr>
      <w:r w:rsidRPr="0008390F">
        <w:t>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w:t>
      </w:r>
      <w:r w:rsidRPr="0008390F">
        <w:t>т</w:t>
      </w:r>
      <w:r w:rsidRPr="0008390F">
        <w:t>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w:t>
      </w:r>
      <w:r w:rsidRPr="0008390F">
        <w:t>а</w:t>
      </w:r>
      <w:r w:rsidRPr="0008390F">
        <w:t>рий для развития у детей познавательных универсальных действий. Так, например, бол</w:t>
      </w:r>
      <w:r w:rsidRPr="0008390F">
        <w:t>ь</w:t>
      </w:r>
      <w:r w:rsidRPr="0008390F">
        <w:t>шое количество математических задач может быть понято и решено   младшими школ</w:t>
      </w:r>
      <w:r w:rsidRPr="0008390F">
        <w:t>ь</w:t>
      </w:r>
      <w:r w:rsidRPr="0008390F">
        <w:t xml:space="preserve">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0A1C37" w:rsidRPr="0008390F" w:rsidRDefault="000A1C37" w:rsidP="000A1C37">
      <w:pPr>
        <w:pStyle w:val="a3"/>
        <w:spacing w:before="0" w:beforeAutospacing="0" w:after="0" w:afterAutospacing="0"/>
        <w:ind w:firstLine="284"/>
        <w:jc w:val="both"/>
      </w:pPr>
      <w:r w:rsidRPr="0008390F">
        <w:t xml:space="preserve">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w:t>
      </w:r>
      <w:r w:rsidRPr="0008390F">
        <w:lastRenderedPageBreak/>
        <w:t>сопровождающиеся инструкциями «Сравни», «Разбей на группы», «Найди истинное высказывание» и т.д.)</w:t>
      </w:r>
    </w:p>
    <w:p w:rsidR="000A1C37" w:rsidRDefault="000A1C37" w:rsidP="000A1C37">
      <w:pPr>
        <w:pStyle w:val="a3"/>
        <w:spacing w:before="0" w:beforeAutospacing="0" w:after="0" w:afterAutospacing="0"/>
        <w:ind w:firstLine="284"/>
        <w:jc w:val="both"/>
      </w:pPr>
      <w:r w:rsidRPr="0008390F">
        <w:t>3. Учебник содержит  также задания, позволяющие научить школьников самостоятельному применению знаний в новой ситуации, т.е. сформировать</w:t>
      </w:r>
      <w:r w:rsidRPr="00457A18">
        <w:t xml:space="preserve"> </w:t>
      </w:r>
      <w:r w:rsidRPr="0008390F">
        <w:t>познавательные универсальные учебные действия. Подобные задания, относящиеся в первую очередь к авторским линиям «</w:t>
      </w:r>
      <w:proofErr w:type="spellStart"/>
      <w:r w:rsidRPr="0008390F">
        <w:t>Стохастика</w:t>
      </w:r>
      <w:proofErr w:type="spellEnd"/>
      <w:r w:rsidRPr="0008390F">
        <w:t>» и «Занимательные и нестандартные задачи», расположены, начиная со второго класса, во всех учебниках в конце каждого разворота (параграфа).</w:t>
      </w:r>
    </w:p>
    <w:p w:rsidR="000A1C37" w:rsidRDefault="000A1C37" w:rsidP="000A1C37">
      <w:pPr>
        <w:pStyle w:val="a3"/>
        <w:spacing w:before="0" w:beforeAutospacing="0" w:after="0" w:afterAutospacing="0"/>
        <w:ind w:firstLine="284"/>
        <w:jc w:val="both"/>
      </w:pPr>
    </w:p>
    <w:p w:rsidR="000A1C37" w:rsidRPr="0008390F" w:rsidRDefault="000A1C37" w:rsidP="000A1C37">
      <w:pPr>
        <w:pStyle w:val="a3"/>
        <w:spacing w:before="0" w:beforeAutospacing="0" w:after="0" w:afterAutospacing="0"/>
        <w:ind w:firstLine="284"/>
        <w:jc w:val="both"/>
      </w:pPr>
    </w:p>
    <w:p w:rsidR="000A1C37" w:rsidRDefault="000A1C37" w:rsidP="000A1C37">
      <w:pPr>
        <w:jc w:val="center"/>
        <w:rPr>
          <w:b/>
        </w:rPr>
      </w:pPr>
      <w:r w:rsidRPr="0008390F">
        <w:rPr>
          <w:b/>
        </w:rPr>
        <w:t>Коммуникативные универсальные учебные действия</w:t>
      </w:r>
    </w:p>
    <w:p w:rsidR="000A1C37" w:rsidRPr="0008390F" w:rsidRDefault="000A1C37" w:rsidP="000A1C37">
      <w:pPr>
        <w:spacing w:before="120"/>
        <w:ind w:firstLine="284"/>
        <w:jc w:val="both"/>
        <w:outlineLvl w:val="0"/>
      </w:pPr>
      <w:r w:rsidRPr="0008390F">
        <w:rPr>
          <w:b/>
        </w:rPr>
        <w:t>Математика</w:t>
      </w:r>
    </w:p>
    <w:p w:rsidR="000A1C37" w:rsidRPr="0008390F" w:rsidRDefault="000A1C37" w:rsidP="000A1C37">
      <w:pPr>
        <w:ind w:firstLine="284"/>
        <w:jc w:val="both"/>
      </w:pPr>
      <w:r w:rsidRPr="0008390F">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0A1C37" w:rsidRPr="0008390F" w:rsidRDefault="000A1C37" w:rsidP="000A1C37">
      <w:pPr>
        <w:ind w:firstLine="284"/>
        <w:jc w:val="both"/>
      </w:pPr>
      <w:r w:rsidRPr="0008390F">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0A1C37" w:rsidRPr="0008390F" w:rsidRDefault="000A1C37" w:rsidP="000A1C37">
      <w:pPr>
        <w:ind w:firstLine="284"/>
        <w:jc w:val="both"/>
      </w:pPr>
      <w:r w:rsidRPr="0008390F">
        <w:t xml:space="preserve">2. Ко второму направлению  формированию коммуникативных универсальных </w:t>
      </w:r>
      <w:proofErr w:type="spellStart"/>
      <w:proofErr w:type="gramStart"/>
      <w:r w:rsidRPr="0008390F">
        <w:t>учеб-ных</w:t>
      </w:r>
      <w:proofErr w:type="spellEnd"/>
      <w:proofErr w:type="gramEnd"/>
      <w:r w:rsidRPr="0008390F">
        <w:t xml:space="preserve">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0A1C37" w:rsidRPr="0008390F" w:rsidRDefault="000A1C37" w:rsidP="000A1C37">
      <w:pPr>
        <w:pStyle w:val="a3"/>
        <w:spacing w:before="0" w:beforeAutospacing="0" w:after="0" w:afterAutospacing="0"/>
        <w:ind w:firstLine="284"/>
        <w:jc w:val="both"/>
        <w:rPr>
          <w:szCs w:val="22"/>
        </w:rPr>
      </w:pPr>
      <w:r w:rsidRPr="0008390F">
        <w:rPr>
          <w:szCs w:val="22"/>
        </w:rPr>
        <w:t>Основой развития коммуникативных умений в данном курсе математики является систематическое использование на уроках трёх видов диалога:</w:t>
      </w:r>
    </w:p>
    <w:p w:rsidR="000A1C37" w:rsidRPr="0008390F" w:rsidRDefault="000A1C37" w:rsidP="000A1C37">
      <w:pPr>
        <w:pStyle w:val="a3"/>
        <w:spacing w:before="0" w:beforeAutospacing="0" w:after="0" w:afterAutospacing="0"/>
        <w:ind w:firstLine="284"/>
        <w:jc w:val="both"/>
        <w:rPr>
          <w:szCs w:val="22"/>
        </w:rPr>
      </w:pPr>
      <w:r w:rsidRPr="0008390F">
        <w:rPr>
          <w:szCs w:val="22"/>
        </w:rPr>
        <w:t>а) диалог в большой группе (учитель – ученики);</w:t>
      </w:r>
    </w:p>
    <w:p w:rsidR="000A1C37" w:rsidRPr="0008390F" w:rsidRDefault="000A1C37" w:rsidP="000A1C37">
      <w:pPr>
        <w:pStyle w:val="a3"/>
        <w:spacing w:before="0" w:beforeAutospacing="0" w:after="0" w:afterAutospacing="0"/>
        <w:ind w:firstLine="284"/>
        <w:jc w:val="both"/>
        <w:rPr>
          <w:szCs w:val="22"/>
        </w:rPr>
      </w:pPr>
      <w:r w:rsidRPr="0008390F">
        <w:rPr>
          <w:szCs w:val="22"/>
        </w:rPr>
        <w:t>б) диалог в небольшой группе (ученик – ученики);</w:t>
      </w:r>
    </w:p>
    <w:p w:rsidR="000A1C37" w:rsidRDefault="000A1C37" w:rsidP="000A1C37">
      <w:pPr>
        <w:pStyle w:val="a3"/>
        <w:spacing w:before="0" w:beforeAutospacing="0" w:after="0" w:afterAutospacing="0"/>
        <w:ind w:firstLine="284"/>
        <w:jc w:val="both"/>
        <w:rPr>
          <w:szCs w:val="22"/>
        </w:rPr>
      </w:pPr>
      <w:r w:rsidRPr="0008390F">
        <w:rPr>
          <w:szCs w:val="22"/>
        </w:rPr>
        <w:t>в) диалог в паре (ученик – ученик).</w:t>
      </w:r>
    </w:p>
    <w:p w:rsidR="000A1C37" w:rsidRPr="0008390F" w:rsidRDefault="000A1C37" w:rsidP="000A1C37">
      <w:pPr>
        <w:pStyle w:val="a3"/>
        <w:spacing w:before="0" w:beforeAutospacing="0" w:after="0" w:afterAutospacing="0"/>
        <w:ind w:firstLine="284"/>
        <w:jc w:val="both"/>
        <w:rPr>
          <w:szCs w:val="22"/>
        </w:rPr>
      </w:pPr>
    </w:p>
    <w:p w:rsidR="000A1C37" w:rsidRPr="000752D1" w:rsidRDefault="000A1C37" w:rsidP="000A1C37">
      <w:pPr>
        <w:jc w:val="both"/>
        <w:rPr>
          <w:b/>
          <w:sz w:val="36"/>
          <w:szCs w:val="36"/>
        </w:rPr>
      </w:pPr>
    </w:p>
    <w:p w:rsidR="001F01BF" w:rsidRDefault="001F01BF"/>
    <w:sectPr w:rsidR="001F01BF" w:rsidSect="000752D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1C37"/>
    <w:rsid w:val="000A1C37"/>
    <w:rsid w:val="001F0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37"/>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A1C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2012-02-22T14:30:00Z</dcterms:created>
  <dcterms:modified xsi:type="dcterms:W3CDTF">2012-02-22T14:31:00Z</dcterms:modified>
</cp:coreProperties>
</file>