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E" w:rsidRDefault="00EC055E" w:rsidP="00EC055E">
      <w:pPr>
        <w:spacing w:after="0" w:line="240" w:lineRule="auto"/>
        <w:ind w:left="-567" w:right="-1" w:firstLine="567"/>
        <w:jc w:val="center"/>
        <w:rPr>
          <w:b/>
          <w:sz w:val="32"/>
          <w:szCs w:val="32"/>
        </w:rPr>
      </w:pPr>
    </w:p>
    <w:p w:rsidR="00EC055E" w:rsidRPr="008E1D93" w:rsidRDefault="00EC055E" w:rsidP="00EC055E">
      <w:pPr>
        <w:spacing w:after="0" w:line="240" w:lineRule="auto"/>
        <w:ind w:left="-567" w:right="-1" w:firstLine="567"/>
        <w:jc w:val="center"/>
        <w:rPr>
          <w:b/>
          <w:sz w:val="32"/>
          <w:szCs w:val="32"/>
        </w:rPr>
      </w:pPr>
      <w:r w:rsidRPr="008E1D93">
        <w:rPr>
          <w:b/>
          <w:sz w:val="32"/>
          <w:szCs w:val="32"/>
        </w:rPr>
        <w:t>«Мягкий конструктор»</w:t>
      </w:r>
    </w:p>
    <w:p w:rsidR="00EC055E" w:rsidRDefault="00EC055E" w:rsidP="00EC055E">
      <w:pPr>
        <w:spacing w:after="0" w:line="240" w:lineRule="auto"/>
        <w:ind w:left="-567" w:right="-1" w:firstLine="567"/>
        <w:jc w:val="both"/>
        <w:rPr>
          <w:sz w:val="28"/>
          <w:szCs w:val="28"/>
        </w:rPr>
      </w:pPr>
    </w:p>
    <w:p w:rsidR="00EC055E" w:rsidRDefault="00EC055E" w:rsidP="00EC055E">
      <w:pPr>
        <w:spacing w:after="0" w:line="24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сенсомоторного развития ребёнка – один из показателей интеллектуальной готовности к школьному обучению. </w:t>
      </w:r>
      <w:r w:rsidRPr="00815D36">
        <w:rPr>
          <w:sz w:val="28"/>
          <w:szCs w:val="28"/>
        </w:rPr>
        <w:t>Обеспечить усвоение детьми сенсорных эталонов, значит сформировать у них представления об основных разновидностях каждого свойства предмета</w:t>
      </w:r>
      <w:r>
        <w:rPr>
          <w:sz w:val="28"/>
          <w:szCs w:val="28"/>
        </w:rPr>
        <w:t xml:space="preserve">. </w:t>
      </w:r>
      <w:r w:rsidRPr="00815D36">
        <w:rPr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цвету,</w:t>
      </w:r>
      <w:r>
        <w:rPr>
          <w:sz w:val="28"/>
          <w:szCs w:val="28"/>
        </w:rPr>
        <w:t xml:space="preserve"> по</w:t>
      </w:r>
      <w:r w:rsidRPr="00815D36">
        <w:rPr>
          <w:sz w:val="28"/>
          <w:szCs w:val="28"/>
        </w:rPr>
        <w:t xml:space="preserve"> форме, </w:t>
      </w:r>
      <w:r>
        <w:rPr>
          <w:sz w:val="28"/>
          <w:szCs w:val="28"/>
        </w:rPr>
        <w:t xml:space="preserve"> по </w:t>
      </w:r>
      <w:r w:rsidRPr="00815D36">
        <w:rPr>
          <w:sz w:val="28"/>
          <w:szCs w:val="28"/>
        </w:rPr>
        <w:t>величине; выполнению глазомерных и тактильных действий. Одним из таких способов развития сенсорных эталонов является обучение конструированию.</w:t>
      </w:r>
    </w:p>
    <w:p w:rsidR="00EC055E" w:rsidRDefault="00EC055E" w:rsidP="00EC055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Мною представлено дидактическое пособие «Мягкий конструктор» для детей младшего дошкольного возраста. Он изготовлен из мягкого паралона обтянутого цветной тканью, для соединения деталей в виде геометрических фигур, нашиты пуговицы и петли.</w:t>
      </w:r>
    </w:p>
    <w:p w:rsidR="00EC055E" w:rsidRDefault="00EC055E" w:rsidP="00EC055E">
      <w:r>
        <w:rPr>
          <w:sz w:val="28"/>
          <w:szCs w:val="28"/>
        </w:rPr>
        <w:t xml:space="preserve">Используя это пособие можно выполнять множество упражнений  и игр, которые вызывают желание к творческой активности детей, развивают мелкую моторику пальцев рук, внимание, мышление, воображение. </w:t>
      </w:r>
    </w:p>
    <w:p w:rsidR="00EC055E" w:rsidRPr="00643E4F" w:rsidRDefault="00EC055E" w:rsidP="00EC055E">
      <w:pPr>
        <w:spacing w:line="240" w:lineRule="auto"/>
        <w:ind w:right="-1"/>
        <w:rPr>
          <w:sz w:val="28"/>
          <w:szCs w:val="28"/>
        </w:rPr>
      </w:pPr>
      <w:r w:rsidRPr="00643E4F">
        <w:rPr>
          <w:b/>
          <w:sz w:val="28"/>
          <w:szCs w:val="28"/>
        </w:rPr>
        <w:t>Развитие сенсорных эталонов при обучении конструированию</w:t>
      </w:r>
      <w:r w:rsidRPr="00643E4F">
        <w:rPr>
          <w:sz w:val="28"/>
          <w:szCs w:val="28"/>
        </w:rPr>
        <w:t>.</w:t>
      </w:r>
    </w:p>
    <w:p w:rsidR="00EC055E" w:rsidRDefault="00EC055E" w:rsidP="00EC055E">
      <w:pPr>
        <w:spacing w:line="240" w:lineRule="auto"/>
        <w:ind w:right="-1"/>
        <w:jc w:val="center"/>
        <w:rPr>
          <w:sz w:val="28"/>
          <w:szCs w:val="28"/>
        </w:rPr>
      </w:pPr>
    </w:p>
    <w:p w:rsidR="00EC055E" w:rsidRDefault="00EC055E" w:rsidP="00EC055E">
      <w:pPr>
        <w:spacing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Игра «Распредели в группы»</w:t>
      </w:r>
    </w:p>
    <w:p w:rsidR="00EC055E" w:rsidRDefault="00EC055E" w:rsidP="00EC055E">
      <w:pPr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Цель: тренировка в группировании с учетом выделения одинаковых предметов по форме, цвету. </w:t>
      </w:r>
    </w:p>
    <w:p w:rsidR="00EC055E" w:rsidRDefault="00EC055E" w:rsidP="00EC055E">
      <w:pPr>
        <w:spacing w:line="240" w:lineRule="auto"/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Игра «Найди пару»</w:t>
      </w:r>
    </w:p>
    <w:p w:rsidR="00EC055E" w:rsidRDefault="00EC055E" w:rsidP="00EC055E">
      <w:pPr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Цель: закрепление знаний о разновидностях формы конструктивных деталей.</w:t>
      </w:r>
    </w:p>
    <w:p w:rsidR="00EC055E" w:rsidRDefault="00EC055E" w:rsidP="00EC055E">
      <w:pPr>
        <w:spacing w:line="240" w:lineRule="auto"/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Игра «Четвёртый лишний»</w:t>
      </w:r>
    </w:p>
    <w:p w:rsidR="00EC055E" w:rsidRDefault="00EC055E" w:rsidP="00EC055E">
      <w:pPr>
        <w:spacing w:line="240" w:lineRule="auto"/>
        <w:ind w:left="-567" w:right="-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349250</wp:posOffset>
            </wp:positionV>
            <wp:extent cx="3141345" cy="2352675"/>
            <wp:effectExtent l="19050" t="0" r="1905" b="0"/>
            <wp:wrapTight wrapText="bothSides">
              <wp:wrapPolygon edited="0">
                <wp:start x="-131" y="0"/>
                <wp:lineTo x="-131" y="21513"/>
                <wp:lineTo x="21613" y="21513"/>
                <wp:lineTo x="21613" y="0"/>
                <wp:lineTo x="-131" y="0"/>
              </wp:wrapPolygon>
            </wp:wrapTight>
            <wp:docPr id="3" name="Рисунок 2" descr="D:\детский сад\конкурс\SDC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етский сад\конкурс\SDC117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Цель: тренировка в выделении одинаковых конструктивных деталей, существенных признаков.</w:t>
      </w:r>
    </w:p>
    <w:p w:rsidR="00EC055E" w:rsidRDefault="00EC055E" w:rsidP="00EC055E">
      <w:pPr>
        <w:spacing w:line="240" w:lineRule="auto"/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Игра «Составь предмет из фигурок»</w:t>
      </w:r>
    </w:p>
    <w:p w:rsidR="00EC055E" w:rsidRDefault="00EC055E" w:rsidP="00EC055E">
      <w:pPr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Цель: учить зрительно, расчленять форму контурного изображения предмета на составные части, соответствующие известным детям </w:t>
      </w:r>
      <w:r>
        <w:rPr>
          <w:sz w:val="28"/>
          <w:szCs w:val="28"/>
        </w:rPr>
        <w:lastRenderedPageBreak/>
        <w:t>геометрическим фигурам; воссоздавать форму предмета из геометрических фигур по замыслу.</w:t>
      </w:r>
    </w:p>
    <w:p w:rsidR="00EC055E" w:rsidRPr="00643E4F" w:rsidRDefault="00EC055E" w:rsidP="00EC055E">
      <w:pPr>
        <w:rPr>
          <w:sz w:val="28"/>
          <w:szCs w:val="28"/>
        </w:rPr>
      </w:pPr>
      <w:r w:rsidRPr="00643E4F">
        <w:rPr>
          <w:b/>
          <w:sz w:val="28"/>
          <w:szCs w:val="28"/>
        </w:rPr>
        <w:t>Развитие познавательных способностей при обучении конструированию.</w:t>
      </w:r>
    </w:p>
    <w:p w:rsidR="00EC055E" w:rsidRDefault="00EC055E" w:rsidP="00EC055E">
      <w:pPr>
        <w:pStyle w:val="a3"/>
        <w:spacing w:line="240" w:lineRule="auto"/>
        <w:ind w:left="-567" w:right="-1" w:firstLine="425"/>
        <w:rPr>
          <w:sz w:val="28"/>
          <w:szCs w:val="28"/>
        </w:rPr>
      </w:pPr>
      <w:r w:rsidRPr="00BD0B38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основе р</w:t>
      </w:r>
      <w:r w:rsidRPr="00BD0B38">
        <w:rPr>
          <w:sz w:val="28"/>
          <w:szCs w:val="28"/>
        </w:rPr>
        <w:t>азвити</w:t>
      </w:r>
      <w:r>
        <w:rPr>
          <w:sz w:val="28"/>
          <w:szCs w:val="28"/>
        </w:rPr>
        <w:t xml:space="preserve">я </w:t>
      </w:r>
      <w:r w:rsidRPr="00BD0B38">
        <w:rPr>
          <w:sz w:val="28"/>
          <w:szCs w:val="28"/>
        </w:rPr>
        <w:t>познавательных способностей</w:t>
      </w:r>
      <w:r>
        <w:rPr>
          <w:sz w:val="28"/>
          <w:szCs w:val="28"/>
        </w:rPr>
        <w:t xml:space="preserve"> лежат действия наглядного моделирования, и</w:t>
      </w:r>
      <w:r w:rsidRPr="004E6FC3">
        <w:rPr>
          <w:sz w:val="28"/>
          <w:szCs w:val="28"/>
        </w:rPr>
        <w:t>спользование заместителей в конструктивных заданиях</w:t>
      </w:r>
      <w:r>
        <w:rPr>
          <w:sz w:val="28"/>
          <w:szCs w:val="28"/>
        </w:rPr>
        <w:t>.</w:t>
      </w:r>
    </w:p>
    <w:p w:rsidR="00EC055E" w:rsidRDefault="00EC055E" w:rsidP="00EC055E">
      <w:pPr>
        <w:pStyle w:val="a3"/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«Покажи деталь такого же цвета, такой же формы, величины».</w:t>
      </w:r>
    </w:p>
    <w:p w:rsidR="00EC055E" w:rsidRDefault="00EC055E" w:rsidP="00EC055E">
      <w:pPr>
        <w:pStyle w:val="a3"/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«Продолжи ряд» (в соответствии со схемой).</w:t>
      </w:r>
    </w:p>
    <w:p w:rsidR="00EC055E" w:rsidRDefault="00EC055E" w:rsidP="00EC055E">
      <w:pPr>
        <w:pStyle w:val="a3"/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«Составь узор»</w:t>
      </w:r>
      <w:r w:rsidRPr="00FA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соответствии со схемой). </w:t>
      </w:r>
    </w:p>
    <w:p w:rsidR="00EC055E" w:rsidRDefault="00EC055E" w:rsidP="00EC055E">
      <w:pPr>
        <w:pStyle w:val="a3"/>
        <w:spacing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«Найди конструктивную деталь по описанию»</w:t>
      </w:r>
    </w:p>
    <w:p w:rsidR="00EC055E" w:rsidRDefault="00EC055E" w:rsidP="00EC055E">
      <w:pPr>
        <w:pStyle w:val="a3"/>
        <w:spacing w:line="240" w:lineRule="auto"/>
        <w:ind w:left="-567" w:right="-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744220</wp:posOffset>
            </wp:positionV>
            <wp:extent cx="3076575" cy="2295525"/>
            <wp:effectExtent l="19050" t="0" r="9525" b="0"/>
            <wp:wrapTight wrapText="bothSides">
              <wp:wrapPolygon edited="0">
                <wp:start x="-134" y="0"/>
                <wp:lineTo x="-134" y="21510"/>
                <wp:lineTo x="21667" y="21510"/>
                <wp:lineTo x="21667" y="0"/>
                <wp:lineTo x="-134" y="0"/>
              </wp:wrapPolygon>
            </wp:wrapTight>
            <wp:docPr id="2" name="Рисунок 4" descr="D:\детский сад\конкурс\SDC1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детский сад\конкурс\SDC11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Цель: учить соотносить признаки конструктивных деталей с заданными эталонами, конструировать по заданной теме с помощью наглядных пособий.</w:t>
      </w:r>
    </w:p>
    <w:p w:rsidR="00EC055E" w:rsidRDefault="00EC055E" w:rsidP="00EC055E">
      <w:pPr>
        <w:pStyle w:val="a3"/>
        <w:spacing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Обучение, конструированию используя «Мягкий конструктор» позволяет воспитателю планировать работу с детьми с учётом определённого этапа развития ребёнка.</w:t>
      </w:r>
    </w:p>
    <w:p w:rsidR="00EC055E" w:rsidRDefault="00EC055E" w:rsidP="00EC055E">
      <w:pPr>
        <w:pStyle w:val="a3"/>
        <w:spacing w:line="240" w:lineRule="auto"/>
        <w:ind w:left="-567" w:right="-1"/>
        <w:jc w:val="both"/>
        <w:rPr>
          <w:sz w:val="28"/>
          <w:szCs w:val="28"/>
        </w:rPr>
      </w:pPr>
    </w:p>
    <w:p w:rsidR="00EC055E" w:rsidRDefault="00EC055E" w:rsidP="00EC055E">
      <w:pPr>
        <w:pStyle w:val="a3"/>
        <w:spacing w:line="240" w:lineRule="auto"/>
        <w:ind w:left="-567" w:right="-1"/>
        <w:jc w:val="both"/>
        <w:rPr>
          <w:sz w:val="28"/>
          <w:szCs w:val="28"/>
        </w:rPr>
      </w:pPr>
    </w:p>
    <w:p w:rsidR="00755A5B" w:rsidRDefault="00755A5B"/>
    <w:sectPr w:rsidR="00755A5B" w:rsidSect="0075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5E"/>
    <w:rsid w:val="00755A5B"/>
    <w:rsid w:val="00EC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2012-10-14T14:53:00Z</dcterms:created>
  <dcterms:modified xsi:type="dcterms:W3CDTF">2012-10-14T14:55:00Z</dcterms:modified>
</cp:coreProperties>
</file>