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D5" w:rsidRDefault="00412C36" w:rsidP="00FA27D5">
      <w:pPr>
        <w:rPr>
          <w:sz w:val="28"/>
          <w:szCs w:val="28"/>
        </w:rPr>
      </w:pPr>
      <w:r w:rsidRPr="00412C36">
        <w:rPr>
          <w:b/>
          <w:sz w:val="32"/>
          <w:szCs w:val="32"/>
        </w:rPr>
        <w:t xml:space="preserve">                            </w:t>
      </w:r>
      <w:r w:rsidRPr="00412C36">
        <w:rPr>
          <w:rFonts w:asciiTheme="majorHAnsi" w:hAnsiTheme="majorHAnsi"/>
          <w:b/>
          <w:color w:val="5F497A" w:themeColor="accent4" w:themeShade="BF"/>
          <w:sz w:val="32"/>
          <w:szCs w:val="32"/>
        </w:rPr>
        <w:t>Программное содержание: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 xml:space="preserve">    </w:t>
      </w:r>
      <w:r w:rsidRPr="00412C36">
        <w:rPr>
          <w:sz w:val="28"/>
          <w:szCs w:val="28"/>
        </w:rPr>
        <w:t>Продолжить учить детей понимать чертёж. Помочь овладеть графической грамотностью. Закрепить умение считать и отсчитывать, ориентироваться на плоскости.</w:t>
      </w:r>
      <w:r>
        <w:rPr>
          <w:sz w:val="28"/>
          <w:szCs w:val="28"/>
        </w:rPr>
        <w:br/>
        <w:t xml:space="preserve">    Развивать внимание, память, логическое и творческое мышление; умение находить и исправлять ошибки, добиваться результата.</w:t>
      </w:r>
      <w:r>
        <w:rPr>
          <w:sz w:val="28"/>
          <w:szCs w:val="28"/>
        </w:rPr>
        <w:br/>
        <w:t xml:space="preserve">    Воспитывать аккуратность в работе с раздаточным материалом.          </w:t>
      </w:r>
      <w:r>
        <w:rPr>
          <w:sz w:val="28"/>
          <w:szCs w:val="28"/>
        </w:rPr>
        <w:br/>
      </w:r>
      <w:r>
        <w:rPr>
          <w:color w:val="5F497A" w:themeColor="accent4" w:themeShade="BF"/>
          <w:sz w:val="28"/>
          <w:szCs w:val="28"/>
        </w:rPr>
        <w:br/>
      </w:r>
      <w:r w:rsidRPr="00412C36">
        <w:rPr>
          <w:b/>
          <w:color w:val="5F497A" w:themeColor="accent4" w:themeShade="BF"/>
          <w:sz w:val="28"/>
          <w:szCs w:val="28"/>
        </w:rPr>
        <w:t>Материал:</w:t>
      </w:r>
      <w:r>
        <w:rPr>
          <w:b/>
          <w:color w:val="5F497A" w:themeColor="accent4" w:themeShade="BF"/>
          <w:sz w:val="28"/>
          <w:szCs w:val="28"/>
        </w:rPr>
        <w:t xml:space="preserve"> </w:t>
      </w:r>
      <w:r w:rsidRPr="00412C36">
        <w:rPr>
          <w:color w:val="000000" w:themeColor="text1"/>
          <w:sz w:val="28"/>
          <w:szCs w:val="28"/>
        </w:rPr>
        <w:t>«Блоки Дьенеша», «Волшебные Кростики», «Палочки Кюизенера», «Уникуб».</w:t>
      </w:r>
      <w:r>
        <w:rPr>
          <w:b/>
          <w:sz w:val="32"/>
          <w:szCs w:val="32"/>
        </w:rPr>
        <w:br/>
      </w:r>
      <w:r w:rsidRPr="00412C36">
        <w:rPr>
          <w:b/>
          <w:sz w:val="32"/>
          <w:szCs w:val="32"/>
        </w:rPr>
        <w:br/>
      </w:r>
      <w:r w:rsidRPr="00412C36">
        <w:rPr>
          <w:b/>
          <w:sz w:val="32"/>
          <w:szCs w:val="32"/>
        </w:rPr>
        <w:br/>
      </w:r>
      <w:r w:rsidRPr="00412C36">
        <w:rPr>
          <w:b/>
          <w:sz w:val="32"/>
          <w:szCs w:val="32"/>
        </w:rPr>
        <w:br/>
      </w:r>
      <w:r w:rsidRPr="00412C36"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rFonts w:asciiTheme="majorHAnsi" w:hAnsiTheme="majorHAnsi"/>
          <w:b/>
          <w:color w:val="5F497A" w:themeColor="accent4" w:themeShade="BF"/>
          <w:sz w:val="32"/>
          <w:szCs w:val="32"/>
        </w:rPr>
        <w:t xml:space="preserve">    </w:t>
      </w:r>
      <w:r w:rsidR="00FA27D5">
        <w:rPr>
          <w:rFonts w:asciiTheme="majorHAnsi" w:hAnsiTheme="majorHAnsi"/>
          <w:b/>
          <w:color w:val="5F497A" w:themeColor="accent4" w:themeShade="BF"/>
          <w:sz w:val="32"/>
          <w:szCs w:val="32"/>
        </w:rPr>
        <w:t xml:space="preserve">                               </w:t>
      </w:r>
      <w:r w:rsidR="00FA27D5">
        <w:rPr>
          <w:rFonts w:asciiTheme="majorHAnsi" w:hAnsiTheme="majorHAnsi"/>
          <w:b/>
          <w:color w:val="5F497A" w:themeColor="accent4" w:themeShade="BF"/>
          <w:sz w:val="32"/>
          <w:szCs w:val="32"/>
        </w:rPr>
        <w:br/>
      </w:r>
      <w:r w:rsidR="00FA27D5">
        <w:rPr>
          <w:rFonts w:asciiTheme="majorHAnsi" w:hAnsiTheme="majorHAnsi"/>
          <w:b/>
          <w:color w:val="5F497A" w:themeColor="accent4" w:themeShade="BF"/>
          <w:sz w:val="32"/>
          <w:szCs w:val="32"/>
        </w:rPr>
        <w:lastRenderedPageBreak/>
        <w:t xml:space="preserve">                                    </w:t>
      </w:r>
      <w:r w:rsidRPr="00412C36">
        <w:rPr>
          <w:rFonts w:asciiTheme="majorHAnsi" w:hAnsiTheme="majorHAnsi"/>
          <w:b/>
          <w:color w:val="5F497A" w:themeColor="accent4" w:themeShade="BF"/>
          <w:sz w:val="32"/>
          <w:szCs w:val="32"/>
        </w:rPr>
        <w:t>Ход занятия.</w:t>
      </w:r>
      <w:r>
        <w:rPr>
          <w:rFonts w:asciiTheme="majorHAnsi" w:hAnsiTheme="majorHAnsi"/>
          <w:b/>
          <w:color w:val="5F497A" w:themeColor="accent4" w:themeShade="BF"/>
          <w:sz w:val="32"/>
          <w:szCs w:val="32"/>
        </w:rPr>
        <w:t xml:space="preserve">                                                                                                        </w:t>
      </w:r>
      <w:r w:rsidR="00FA27D5">
        <w:rPr>
          <w:rFonts w:asciiTheme="majorHAnsi" w:hAnsiTheme="majorHAnsi"/>
          <w:b/>
          <w:color w:val="5F497A" w:themeColor="accent4" w:themeShade="BF"/>
          <w:sz w:val="32"/>
          <w:szCs w:val="32"/>
        </w:rPr>
        <w:br/>
      </w:r>
      <w:r w:rsidR="00FA27D5">
        <w:rPr>
          <w:rFonts w:asciiTheme="majorHAnsi" w:hAnsiTheme="majorHAnsi"/>
          <w:b/>
          <w:color w:val="5F497A" w:themeColor="accent4" w:themeShade="BF"/>
          <w:sz w:val="32"/>
          <w:szCs w:val="32"/>
        </w:rPr>
        <w:br/>
      </w:r>
      <w:r w:rsidR="00FA27D5">
        <w:rPr>
          <w:sz w:val="28"/>
          <w:szCs w:val="28"/>
        </w:rPr>
        <w:t xml:space="preserve">   </w:t>
      </w:r>
      <w:r w:rsidRPr="00412C36">
        <w:rPr>
          <w:sz w:val="28"/>
          <w:szCs w:val="28"/>
        </w:rPr>
        <w:t>Ребята</w:t>
      </w:r>
      <w:r>
        <w:rPr>
          <w:sz w:val="28"/>
          <w:szCs w:val="28"/>
        </w:rPr>
        <w:t>, сегодня мы с вами отправимся в путешествие - сказку, а вы догадайтесь в какую.</w:t>
      </w:r>
      <w:r w:rsidR="00FA27D5">
        <w:rPr>
          <w:sz w:val="28"/>
          <w:szCs w:val="28"/>
        </w:rPr>
        <w:br/>
        <w:t xml:space="preserve">                            На санях, как ветер, мчится</w:t>
      </w:r>
      <w:r w:rsidR="00FA27D5">
        <w:rPr>
          <w:sz w:val="28"/>
          <w:szCs w:val="28"/>
        </w:rPr>
        <w:br/>
        <w:t xml:space="preserve">                            К ней опасно прислониться</w:t>
      </w:r>
      <w:r w:rsidR="00FA27D5">
        <w:rPr>
          <w:sz w:val="28"/>
          <w:szCs w:val="28"/>
        </w:rPr>
        <w:br/>
        <w:t xml:space="preserve">                            Лишь дотронься – заморозит</w:t>
      </w:r>
      <w:r w:rsidR="00FA27D5">
        <w:rPr>
          <w:sz w:val="28"/>
          <w:szCs w:val="28"/>
        </w:rPr>
        <w:br/>
        <w:t xml:space="preserve">                            В царство снежное увозит</w:t>
      </w:r>
      <w:r w:rsidR="00FA27D5">
        <w:rPr>
          <w:sz w:val="28"/>
          <w:szCs w:val="28"/>
        </w:rPr>
        <w:br/>
        <w:t xml:space="preserve">                            Злые чары в ход пускает -</w:t>
      </w:r>
      <w:r w:rsidR="00FA27D5">
        <w:rPr>
          <w:sz w:val="28"/>
          <w:szCs w:val="28"/>
        </w:rPr>
        <w:br/>
        <w:t xml:space="preserve">                            Сердце в льдинку превращает.</w:t>
      </w:r>
      <w:r w:rsidR="00FA27D5">
        <w:rPr>
          <w:sz w:val="28"/>
          <w:szCs w:val="28"/>
        </w:rPr>
        <w:br/>
        <w:t xml:space="preserve">   Правильно – это Снежная Королева. А кто главный герой этой сказки вы сможете прочитать, если расположите цифры от самого наименьшего к наибольшему.</w:t>
      </w:r>
      <w:r w:rsidR="00FA27D5">
        <w:rPr>
          <w:sz w:val="28"/>
          <w:szCs w:val="28"/>
        </w:rPr>
        <w:br/>
      </w:r>
    </w:p>
    <w:tbl>
      <w:tblPr>
        <w:tblStyle w:val="a5"/>
        <w:tblW w:w="0" w:type="auto"/>
        <w:tblInd w:w="534" w:type="dxa"/>
        <w:tblLook w:val="04A0"/>
      </w:tblPr>
      <w:tblGrid>
        <w:gridCol w:w="850"/>
        <w:gridCol w:w="992"/>
        <w:gridCol w:w="993"/>
        <w:gridCol w:w="992"/>
        <w:gridCol w:w="994"/>
      </w:tblGrid>
      <w:tr w:rsidR="00FA27D5" w:rsidTr="00EA7321">
        <w:trPr>
          <w:trHeight w:val="70"/>
        </w:trPr>
        <w:tc>
          <w:tcPr>
            <w:tcW w:w="850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27D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27D5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27D5">
              <w:rPr>
                <w:sz w:val="28"/>
                <w:szCs w:val="28"/>
              </w:rPr>
              <w:t xml:space="preserve">80 </w:t>
            </w:r>
          </w:p>
        </w:tc>
        <w:tc>
          <w:tcPr>
            <w:tcW w:w="992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A27D5">
              <w:rPr>
                <w:sz w:val="28"/>
                <w:szCs w:val="28"/>
              </w:rPr>
              <w:t>30</w:t>
            </w:r>
          </w:p>
        </w:tc>
        <w:tc>
          <w:tcPr>
            <w:tcW w:w="994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A27D5">
              <w:rPr>
                <w:sz w:val="28"/>
                <w:szCs w:val="28"/>
              </w:rPr>
              <w:t>50</w:t>
            </w:r>
          </w:p>
        </w:tc>
      </w:tr>
      <w:tr w:rsidR="00FA27D5" w:rsidTr="00EA7321">
        <w:trPr>
          <w:trHeight w:val="374"/>
        </w:trPr>
        <w:tc>
          <w:tcPr>
            <w:tcW w:w="850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27D5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27D5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27D5">
              <w:rPr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27D5">
              <w:rPr>
                <w:sz w:val="28"/>
                <w:szCs w:val="28"/>
              </w:rPr>
              <w:t>Е</w:t>
            </w:r>
          </w:p>
        </w:tc>
        <w:tc>
          <w:tcPr>
            <w:tcW w:w="994" w:type="dxa"/>
          </w:tcPr>
          <w:p w:rsidR="00FA27D5" w:rsidRDefault="00EA7321" w:rsidP="00FA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27D5">
              <w:rPr>
                <w:sz w:val="28"/>
                <w:szCs w:val="28"/>
              </w:rPr>
              <w:t>Р</w:t>
            </w:r>
          </w:p>
        </w:tc>
      </w:tr>
    </w:tbl>
    <w:p w:rsidR="007D0855" w:rsidRDefault="00AB1787" w:rsidP="00FA27D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99.7pt;margin-top:208.05pt;width:56.25pt;height:20.25pt;flip:x;z-index:25166131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6" type="#_x0000_t32" style="position:absolute;margin-left:220.2pt;margin-top:216.3pt;width:9.75pt;height:60.75pt;z-index:25166028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oval id="_x0000_s1030" style="position:absolute;margin-left:143.7pt;margin-top:208.05pt;width:96pt;height:83.25pt;z-index:251659264;mso-position-horizontal-relative:text;mso-position-vertical-relative:text"/>
        </w:pict>
      </w:r>
      <w:r>
        <w:rPr>
          <w:noProof/>
          <w:sz w:val="28"/>
          <w:szCs w:val="28"/>
        </w:rPr>
        <w:pict>
          <v:oval id="_x0000_s1029" style="position:absolute;margin-left:209.7pt;margin-top:201.3pt;width:90pt;height:82.5pt;z-index:251658240;mso-position-horizontal-relative:text;mso-position-vertical-relative:text"/>
        </w:pict>
      </w:r>
      <w:r w:rsidR="00EA7321">
        <w:rPr>
          <w:sz w:val="28"/>
          <w:szCs w:val="28"/>
        </w:rPr>
        <w:br/>
        <w:t xml:space="preserve">    Снежная Королева увезла мальчика Кая в свой ледяной дворец. Герда решила </w:t>
      </w:r>
      <w:proofErr w:type="gramStart"/>
      <w:r w:rsidR="00EA7321">
        <w:rPr>
          <w:sz w:val="28"/>
          <w:szCs w:val="28"/>
        </w:rPr>
        <w:t>во</w:t>
      </w:r>
      <w:proofErr w:type="gramEnd"/>
      <w:r w:rsidR="00EA7321">
        <w:rPr>
          <w:sz w:val="28"/>
          <w:szCs w:val="28"/>
        </w:rPr>
        <w:t xml:space="preserve"> чтобы то не стало найти брата. И вот Герда попала во дворец, где живут Принц и Принцесса. Придворный ворон сказал, что Принц и есть Кай. Ворон обещал помочь ей, если она поможет составить меню на три дня.</w:t>
      </w:r>
      <w:r w:rsidR="00EA7321">
        <w:rPr>
          <w:sz w:val="28"/>
          <w:szCs w:val="28"/>
        </w:rPr>
        <w:br/>
        <w:t xml:space="preserve">    В первый день можно есть все жёлтые овощи и фрукты. Во </w:t>
      </w:r>
      <w:proofErr w:type="gramStart"/>
      <w:r w:rsidR="00EA7321">
        <w:rPr>
          <w:sz w:val="28"/>
          <w:szCs w:val="28"/>
        </w:rPr>
        <w:t>-в</w:t>
      </w:r>
      <w:proofErr w:type="gramEnd"/>
      <w:r w:rsidR="00EA7321">
        <w:rPr>
          <w:sz w:val="28"/>
          <w:szCs w:val="28"/>
        </w:rPr>
        <w:t>торой – только круглые. А в третий день можно есть то, что ели в первый и в</w:t>
      </w:r>
      <w:proofErr w:type="gramStart"/>
      <w:r w:rsidR="00EA7321">
        <w:rPr>
          <w:sz w:val="28"/>
          <w:szCs w:val="28"/>
        </w:rPr>
        <w:t>о-</w:t>
      </w:r>
      <w:proofErr w:type="gramEnd"/>
      <w:r w:rsidR="00EA7321">
        <w:rPr>
          <w:sz w:val="28"/>
          <w:szCs w:val="28"/>
        </w:rPr>
        <w:t xml:space="preserve"> второй день. </w:t>
      </w:r>
      <w:r w:rsidR="00EA7321">
        <w:rPr>
          <w:sz w:val="28"/>
          <w:szCs w:val="28"/>
        </w:rPr>
        <w:br/>
        <w:t xml:space="preserve">    Игра с двумя обручами.</w:t>
      </w:r>
      <w:r w:rsidR="00EA7321">
        <w:rPr>
          <w:sz w:val="28"/>
          <w:szCs w:val="28"/>
        </w:rPr>
        <w:br/>
      </w:r>
      <w:r w:rsidR="00FA27D5">
        <w:rPr>
          <w:sz w:val="28"/>
          <w:szCs w:val="28"/>
        </w:rPr>
        <w:br/>
      </w:r>
      <w:r w:rsidR="007D0855">
        <w:rPr>
          <w:sz w:val="28"/>
          <w:szCs w:val="28"/>
        </w:rPr>
        <w:t xml:space="preserve">                                                                                                                    круглые</w:t>
      </w:r>
    </w:p>
    <w:p w:rsidR="00966D78" w:rsidRDefault="00AB1787" w:rsidP="00FA27D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margin-left:229.95pt;margin-top:24.6pt;width:3.75pt;height:50.25pt;flip:x y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margin-left:86.7pt;margin-top:8.1pt;width:57pt;height:4.5pt;z-index:251662336" o:connectortype="straight">
            <v:stroke endarrow="block"/>
          </v:shape>
        </w:pict>
      </w:r>
      <w:r w:rsidR="007D0855">
        <w:rPr>
          <w:sz w:val="28"/>
          <w:szCs w:val="28"/>
        </w:rPr>
        <w:t xml:space="preserve">         жёлтые</w:t>
      </w:r>
    </w:p>
    <w:p w:rsidR="00966D78" w:rsidRDefault="00966D78" w:rsidP="00FA27D5">
      <w:pPr>
        <w:rPr>
          <w:sz w:val="28"/>
          <w:szCs w:val="28"/>
        </w:rPr>
      </w:pPr>
    </w:p>
    <w:p w:rsidR="007D0855" w:rsidRDefault="007D0855" w:rsidP="00FA27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желтые, круглые</w:t>
      </w:r>
      <w:r w:rsidR="00EB4CE7">
        <w:rPr>
          <w:sz w:val="28"/>
          <w:szCs w:val="28"/>
        </w:rPr>
        <w:br/>
        <w:t xml:space="preserve">    </w:t>
      </w:r>
    </w:p>
    <w:p w:rsidR="00CA45D5" w:rsidRPr="007D0855" w:rsidRDefault="007D0855" w:rsidP="00FA27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4CE7">
        <w:rPr>
          <w:sz w:val="28"/>
          <w:szCs w:val="28"/>
        </w:rPr>
        <w:t>Мы помогли Герде. Но принц оказался не Каем. На своем трудной пути во владении Снежной Королевы Герда попала к разбойникам. Но она понравилась маленькой разбойнице и та подарила ей своего любимца.</w:t>
      </w:r>
      <w:r>
        <w:rPr>
          <w:sz w:val="28"/>
          <w:szCs w:val="28"/>
        </w:rPr>
        <w:t xml:space="preserve"> </w:t>
      </w:r>
      <w:r w:rsidR="00EB4CE7">
        <w:rPr>
          <w:sz w:val="28"/>
          <w:szCs w:val="28"/>
        </w:rPr>
        <w:br/>
      </w:r>
      <w:r w:rsidR="00EB4CE7">
        <w:rPr>
          <w:sz w:val="28"/>
          <w:szCs w:val="28"/>
        </w:rPr>
        <w:lastRenderedPageBreak/>
        <w:t xml:space="preserve">    </w:t>
      </w:r>
      <w:r w:rsidR="00EB4CE7">
        <w:rPr>
          <w:sz w:val="28"/>
          <w:szCs w:val="28"/>
        </w:rPr>
        <w:br/>
      </w:r>
      <w:r w:rsidR="00EB4CE7">
        <w:rPr>
          <w:sz w:val="28"/>
          <w:szCs w:val="28"/>
        </w:rPr>
        <w:br/>
      </w:r>
      <w:r w:rsidR="00CA45D5">
        <w:rPr>
          <w:sz w:val="28"/>
          <w:szCs w:val="28"/>
        </w:rPr>
        <w:t xml:space="preserve">    Давайте с помощью волшебных</w:t>
      </w:r>
      <w:r w:rsidR="00EB4CE7">
        <w:rPr>
          <w:sz w:val="28"/>
          <w:szCs w:val="28"/>
        </w:rPr>
        <w:t xml:space="preserve"> палочек</w:t>
      </w:r>
      <w:r w:rsidR="00CA45D5">
        <w:rPr>
          <w:sz w:val="28"/>
          <w:szCs w:val="28"/>
        </w:rPr>
        <w:t xml:space="preserve"> построим любимца Герды. Интересно, кто получится? </w:t>
      </w:r>
      <w:r w:rsidR="00CA45D5">
        <w:rPr>
          <w:i/>
          <w:sz w:val="28"/>
          <w:szCs w:val="28"/>
        </w:rPr>
        <w:t>( Дети выполняют задание</w:t>
      </w:r>
      <w:r w:rsidR="00CA45D5" w:rsidRPr="0044581D">
        <w:rPr>
          <w:sz w:val="28"/>
          <w:szCs w:val="28"/>
        </w:rPr>
        <w:t>).</w:t>
      </w:r>
      <w:r w:rsidRPr="0044581D">
        <w:rPr>
          <w:sz w:val="28"/>
          <w:szCs w:val="28"/>
        </w:rPr>
        <w:t xml:space="preserve"> </w:t>
      </w:r>
      <w:r w:rsidRPr="0044581D">
        <w:rPr>
          <w:i/>
          <w:sz w:val="28"/>
          <w:szCs w:val="28"/>
        </w:rPr>
        <w:t>Игра «Кростики» (Олень)</w:t>
      </w:r>
      <w:r>
        <w:rPr>
          <w:sz w:val="28"/>
          <w:szCs w:val="28"/>
        </w:rPr>
        <w:t>.</w:t>
      </w:r>
      <w:r w:rsidR="00CA45D5">
        <w:rPr>
          <w:sz w:val="28"/>
          <w:szCs w:val="28"/>
        </w:rPr>
        <w:t xml:space="preserve"> А в это время Кай из ледяных кубиков строит скамеечку. Поможем ему в этом нелегкой деле.</w:t>
      </w:r>
      <w:r w:rsidR="00966D78">
        <w:rPr>
          <w:i/>
          <w:sz w:val="28"/>
          <w:szCs w:val="28"/>
        </w:rPr>
        <w:t xml:space="preserve"> </w:t>
      </w:r>
      <w:r w:rsidR="00CA45D5">
        <w:rPr>
          <w:i/>
          <w:sz w:val="28"/>
          <w:szCs w:val="28"/>
        </w:rPr>
        <w:t>( Дети выполняют задание с «Уникуб»).</w:t>
      </w:r>
      <w:r w:rsidR="00CA45D5">
        <w:rPr>
          <w:i/>
          <w:sz w:val="28"/>
          <w:szCs w:val="28"/>
        </w:rPr>
        <w:br/>
        <w:t xml:space="preserve">    </w:t>
      </w:r>
      <w:r w:rsidR="00CA45D5">
        <w:rPr>
          <w:sz w:val="28"/>
          <w:szCs w:val="28"/>
        </w:rPr>
        <w:t>Герда все – таки добралась до дворца Снежной Королевы. И там она нашла Кая, но Снежная Королева не хочет отпускать мальчика просто так, а просит  догадаться кто автор этой сказки. Надо выполнить задание: вместо цифр подставить буквы.</w:t>
      </w:r>
      <w:r w:rsidR="00CA45D5">
        <w:rPr>
          <w:sz w:val="28"/>
          <w:szCs w:val="28"/>
        </w:rPr>
        <w:br/>
        <w:t xml:space="preserve">                                        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A45D5" w:rsidTr="00CA45D5">
        <w:tc>
          <w:tcPr>
            <w:tcW w:w="957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   Г</w:t>
            </w:r>
          </w:p>
        </w:tc>
        <w:tc>
          <w:tcPr>
            <w:tcW w:w="957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966D78">
              <w:rPr>
                <w:color w:val="943634" w:themeColor="accent2" w:themeShade="BF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966D78">
              <w:rPr>
                <w:color w:val="943634" w:themeColor="accent2" w:themeShade="BF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966D78">
              <w:rPr>
                <w:color w:val="943634" w:themeColor="accent2" w:themeShade="BF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966D78">
              <w:rPr>
                <w:color w:val="943634" w:themeColor="accent2" w:themeShade="BF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966D78">
              <w:rPr>
                <w:color w:val="943634" w:themeColor="accent2" w:themeShade="BF"/>
                <w:sz w:val="28"/>
                <w:szCs w:val="28"/>
              </w:rPr>
              <w:t>Х</w:t>
            </w:r>
          </w:p>
        </w:tc>
        <w:tc>
          <w:tcPr>
            <w:tcW w:w="957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966D78">
              <w:rPr>
                <w:color w:val="943634" w:themeColor="accent2" w:themeShade="BF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966D78">
              <w:rPr>
                <w:color w:val="943634" w:themeColor="accent2" w:themeShade="BF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966D78">
              <w:rPr>
                <w:color w:val="943634" w:themeColor="accent2" w:themeShade="BF"/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CA45D5" w:rsidRPr="00966D78" w:rsidRDefault="00CA45D5" w:rsidP="00FA27D5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966D78">
              <w:rPr>
                <w:color w:val="943634" w:themeColor="accent2" w:themeShade="BF"/>
                <w:sz w:val="28"/>
                <w:szCs w:val="28"/>
              </w:rPr>
              <w:t>Е</w:t>
            </w:r>
          </w:p>
        </w:tc>
      </w:tr>
      <w:tr w:rsidR="00CA45D5" w:rsidTr="00CA45D5">
        <w:tc>
          <w:tcPr>
            <w:tcW w:w="957" w:type="dxa"/>
          </w:tcPr>
          <w:p w:rsidR="00CA45D5" w:rsidRPr="00CA45D5" w:rsidRDefault="00CA45D5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CA45D5" w:rsidRPr="00CA45D5" w:rsidRDefault="00CA45D5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CA45D5" w:rsidRPr="00CA45D5" w:rsidRDefault="00CA45D5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CA45D5" w:rsidRPr="000D6DFC" w:rsidRDefault="00CA45D5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0D6DFC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CA45D5" w:rsidRPr="000D6DFC" w:rsidRDefault="000D6DFC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CA45D5" w:rsidRPr="000D6DFC" w:rsidRDefault="000D6DFC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CA45D5" w:rsidRPr="000D6DFC" w:rsidRDefault="000D6DFC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CA45D5" w:rsidRPr="000D6DFC" w:rsidRDefault="000D6DFC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CA45D5" w:rsidRPr="000D6DFC" w:rsidRDefault="000D6DFC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CA45D5" w:rsidRPr="000D6DFC" w:rsidRDefault="000D6DFC" w:rsidP="00FA27D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10</w:t>
            </w:r>
          </w:p>
        </w:tc>
      </w:tr>
    </w:tbl>
    <w:tbl>
      <w:tblPr>
        <w:tblStyle w:val="a5"/>
        <w:tblpPr w:leftFromText="180" w:rightFromText="180" w:vertAnchor="text" w:horzAnchor="margin" w:tblpY="386"/>
        <w:tblOverlap w:val="never"/>
        <w:tblW w:w="0" w:type="auto"/>
        <w:tblLook w:val="04A0"/>
      </w:tblPr>
      <w:tblGrid>
        <w:gridCol w:w="410"/>
        <w:gridCol w:w="87"/>
        <w:gridCol w:w="323"/>
        <w:gridCol w:w="174"/>
        <w:gridCol w:w="236"/>
        <w:gridCol w:w="261"/>
        <w:gridCol w:w="149"/>
        <w:gridCol w:w="348"/>
        <w:gridCol w:w="497"/>
        <w:gridCol w:w="497"/>
        <w:gridCol w:w="497"/>
        <w:gridCol w:w="497"/>
      </w:tblGrid>
      <w:tr w:rsidR="00966D78" w:rsidTr="00966D78">
        <w:trPr>
          <w:gridAfter w:val="5"/>
          <w:wAfter w:w="2336" w:type="dxa"/>
          <w:trHeight w:val="389"/>
        </w:trPr>
        <w:tc>
          <w:tcPr>
            <w:tcW w:w="410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" w:type="dxa"/>
            <w:gridSpan w:val="2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  <w:gridSpan w:val="2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" w:type="dxa"/>
            <w:gridSpan w:val="2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6D78" w:rsidTr="00966D78">
        <w:trPr>
          <w:gridAfter w:val="5"/>
          <w:wAfter w:w="2336" w:type="dxa"/>
          <w:trHeight w:val="389"/>
        </w:trPr>
        <w:tc>
          <w:tcPr>
            <w:tcW w:w="410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Г</w:t>
            </w:r>
          </w:p>
        </w:tc>
        <w:tc>
          <w:tcPr>
            <w:tcW w:w="410" w:type="dxa"/>
            <w:gridSpan w:val="2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>А</w:t>
            </w:r>
          </w:p>
        </w:tc>
        <w:tc>
          <w:tcPr>
            <w:tcW w:w="410" w:type="dxa"/>
            <w:gridSpan w:val="2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>Н</w:t>
            </w:r>
          </w:p>
        </w:tc>
        <w:tc>
          <w:tcPr>
            <w:tcW w:w="410" w:type="dxa"/>
            <w:gridSpan w:val="2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>С</w:t>
            </w:r>
          </w:p>
        </w:tc>
      </w:tr>
      <w:tr w:rsidR="00966D78" w:rsidTr="00966D78">
        <w:trPr>
          <w:trHeight w:val="396"/>
        </w:trPr>
        <w:tc>
          <w:tcPr>
            <w:tcW w:w="497" w:type="dxa"/>
            <w:gridSpan w:val="2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97" w:type="dxa"/>
            <w:gridSpan w:val="2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497" w:type="dxa"/>
            <w:gridSpan w:val="2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497" w:type="dxa"/>
            <w:gridSpan w:val="2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97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497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497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497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  <w:tr w:rsidR="00966D78" w:rsidTr="00966D78">
        <w:trPr>
          <w:trHeight w:val="396"/>
        </w:trPr>
        <w:tc>
          <w:tcPr>
            <w:tcW w:w="497" w:type="dxa"/>
            <w:gridSpan w:val="2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Х</w:t>
            </w:r>
          </w:p>
        </w:tc>
        <w:tc>
          <w:tcPr>
            <w:tcW w:w="497" w:type="dxa"/>
            <w:gridSpan w:val="2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Р</w:t>
            </w:r>
          </w:p>
        </w:tc>
        <w:tc>
          <w:tcPr>
            <w:tcW w:w="497" w:type="dxa"/>
            <w:gridSpan w:val="2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И</w:t>
            </w:r>
          </w:p>
        </w:tc>
        <w:tc>
          <w:tcPr>
            <w:tcW w:w="497" w:type="dxa"/>
            <w:gridSpan w:val="2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С</w:t>
            </w:r>
          </w:p>
        </w:tc>
        <w:tc>
          <w:tcPr>
            <w:tcW w:w="497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Т</w:t>
            </w:r>
          </w:p>
        </w:tc>
        <w:tc>
          <w:tcPr>
            <w:tcW w:w="497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И</w:t>
            </w:r>
          </w:p>
        </w:tc>
        <w:tc>
          <w:tcPr>
            <w:tcW w:w="497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А</w:t>
            </w:r>
          </w:p>
        </w:tc>
        <w:tc>
          <w:tcPr>
            <w:tcW w:w="497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Н</w:t>
            </w:r>
          </w:p>
        </w:tc>
      </w:tr>
    </w:tbl>
    <w:p w:rsidR="000D6DFC" w:rsidRPr="000D6DFC" w:rsidRDefault="000D6DFC" w:rsidP="00FA27D5">
      <w:pPr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a5"/>
        <w:tblpPr w:leftFromText="180" w:rightFromText="180" w:vertAnchor="text" w:horzAnchor="margin" w:tblpY="1020"/>
        <w:tblW w:w="0" w:type="auto"/>
        <w:tblLook w:val="04A0"/>
      </w:tblPr>
      <w:tblGrid>
        <w:gridCol w:w="499"/>
        <w:gridCol w:w="499"/>
        <w:gridCol w:w="499"/>
        <w:gridCol w:w="500"/>
        <w:gridCol w:w="499"/>
        <w:gridCol w:w="500"/>
        <w:gridCol w:w="500"/>
        <w:gridCol w:w="500"/>
      </w:tblGrid>
      <w:tr w:rsidR="00966D78" w:rsidTr="00966D78">
        <w:trPr>
          <w:trHeight w:val="322"/>
        </w:trPr>
        <w:tc>
          <w:tcPr>
            <w:tcW w:w="499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99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00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9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500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00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</w:tcPr>
          <w:p w:rsidR="00966D78" w:rsidRDefault="00966D78" w:rsidP="0096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  <w:tr w:rsidR="00966D78" w:rsidTr="00966D78">
        <w:trPr>
          <w:trHeight w:val="337"/>
        </w:trPr>
        <w:tc>
          <w:tcPr>
            <w:tcW w:w="499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А</w:t>
            </w:r>
          </w:p>
        </w:tc>
        <w:tc>
          <w:tcPr>
            <w:tcW w:w="499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Н</w:t>
            </w:r>
          </w:p>
        </w:tc>
        <w:tc>
          <w:tcPr>
            <w:tcW w:w="499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Д</w:t>
            </w:r>
          </w:p>
        </w:tc>
        <w:tc>
          <w:tcPr>
            <w:tcW w:w="500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Е</w:t>
            </w:r>
          </w:p>
        </w:tc>
        <w:tc>
          <w:tcPr>
            <w:tcW w:w="499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Р</w:t>
            </w:r>
          </w:p>
        </w:tc>
        <w:tc>
          <w:tcPr>
            <w:tcW w:w="500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С</w:t>
            </w:r>
          </w:p>
        </w:tc>
        <w:tc>
          <w:tcPr>
            <w:tcW w:w="500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Е</w:t>
            </w:r>
          </w:p>
        </w:tc>
        <w:tc>
          <w:tcPr>
            <w:tcW w:w="500" w:type="dxa"/>
          </w:tcPr>
          <w:p w:rsidR="00966D78" w:rsidRPr="00966D78" w:rsidRDefault="00966D78" w:rsidP="00966D78">
            <w:pPr>
              <w:rPr>
                <w:color w:val="943634" w:themeColor="accent2" w:themeShade="BF"/>
                <w:sz w:val="28"/>
                <w:szCs w:val="28"/>
              </w:rPr>
            </w:pPr>
            <w:r w:rsidRPr="00966D78">
              <w:rPr>
                <w:color w:val="943634" w:themeColor="accent2" w:themeShade="BF"/>
                <w:sz w:val="28"/>
                <w:szCs w:val="28"/>
              </w:rPr>
              <w:t xml:space="preserve"> Н</w:t>
            </w:r>
          </w:p>
        </w:tc>
      </w:tr>
    </w:tbl>
    <w:p w:rsidR="00966D78" w:rsidRPr="000D6DFC" w:rsidRDefault="00966D78" w:rsidP="00FA27D5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7D0855">
        <w:rPr>
          <w:sz w:val="28"/>
          <w:szCs w:val="28"/>
        </w:rPr>
        <w:br/>
        <w:t xml:space="preserve">    Вот и помогли мы отыскать Герде своего Кая.</w:t>
      </w:r>
    </w:p>
    <w:p w:rsidR="000D6DFC" w:rsidRPr="000D6DFC" w:rsidRDefault="000D6DFC" w:rsidP="00FA27D5">
      <w:pPr>
        <w:rPr>
          <w:sz w:val="28"/>
          <w:szCs w:val="28"/>
        </w:rPr>
      </w:pPr>
    </w:p>
    <w:p w:rsidR="00DE160B" w:rsidRPr="00CA45D5" w:rsidRDefault="000D6DFC" w:rsidP="00FA27D5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textWrapping" w:clear="all"/>
      </w:r>
      <w:r>
        <w:rPr>
          <w:i/>
          <w:sz w:val="28"/>
          <w:szCs w:val="28"/>
        </w:rPr>
        <w:br/>
        <w:t xml:space="preserve">    </w:t>
      </w:r>
      <w:r w:rsidR="00CA45D5">
        <w:rPr>
          <w:i/>
          <w:sz w:val="28"/>
          <w:szCs w:val="28"/>
        </w:rPr>
        <w:br/>
      </w:r>
    </w:p>
    <w:sectPr w:rsidR="00DE160B" w:rsidRPr="00CA45D5" w:rsidSect="00AB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C36"/>
    <w:rsid w:val="000D6DFC"/>
    <w:rsid w:val="00412C36"/>
    <w:rsid w:val="0044581D"/>
    <w:rsid w:val="007D0855"/>
    <w:rsid w:val="00966D78"/>
    <w:rsid w:val="00AB1787"/>
    <w:rsid w:val="00CA45D5"/>
    <w:rsid w:val="00DE160B"/>
    <w:rsid w:val="00EA7321"/>
    <w:rsid w:val="00EB4CE7"/>
    <w:rsid w:val="00FA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8"/>
        <o:r id="V:Rule6" type="connector" idref="#_x0000_s1039"/>
        <o:r id="V:Rule7" type="connector" idref="#_x0000_s1036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87"/>
  </w:style>
  <w:style w:type="paragraph" w:styleId="1">
    <w:name w:val="heading 1"/>
    <w:basedOn w:val="a"/>
    <w:next w:val="a"/>
    <w:link w:val="10"/>
    <w:uiPriority w:val="9"/>
    <w:qFormat/>
    <w:rsid w:val="00412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2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2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12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12C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12C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12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2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2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2C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2C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2C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2C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Intense Emphasis"/>
    <w:basedOn w:val="a0"/>
    <w:uiPriority w:val="21"/>
    <w:qFormat/>
    <w:rsid w:val="00412C36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FA2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3E52-2586-46FA-91FF-8E18181F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2011-10-31T10:59:00Z</dcterms:created>
  <dcterms:modified xsi:type="dcterms:W3CDTF">2011-10-31T13:30:00Z</dcterms:modified>
</cp:coreProperties>
</file>