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C" w:rsidRDefault="00097E1C"/>
    <w:p w:rsidR="007B5050" w:rsidRPr="007B5050" w:rsidRDefault="007B5050" w:rsidP="007B5050">
      <w:pPr>
        <w:ind w:firstLine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МАДОУ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Большеалексеевский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 комбинированного вида «КАЛИНКА»</w:t>
      </w: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>Ступинского муниципального района</w:t>
      </w: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B5050" w:rsidRPr="007B5050" w:rsidRDefault="007B5050" w:rsidP="007B5050">
      <w:pPr>
        <w:ind w:firstLine="426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7B5050">
        <w:rPr>
          <w:rFonts w:ascii="Times New Roman" w:hAnsi="Times New Roman" w:cs="Times New Roman"/>
          <w:b/>
          <w:color w:val="333333"/>
          <w:sz w:val="36"/>
          <w:szCs w:val="36"/>
        </w:rPr>
        <w:t>КОНСУЛЬТАЦИЯ</w:t>
      </w:r>
    </w:p>
    <w:p w:rsidR="007B5050" w:rsidRPr="007B5050" w:rsidRDefault="007B5050" w:rsidP="007B5050">
      <w:pPr>
        <w:ind w:firstLine="426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7B5050">
        <w:rPr>
          <w:rFonts w:ascii="Times New Roman" w:hAnsi="Times New Roman" w:cs="Times New Roman"/>
          <w:color w:val="333333"/>
          <w:sz w:val="36"/>
          <w:szCs w:val="36"/>
        </w:rPr>
        <w:t xml:space="preserve">на тему: </w:t>
      </w: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b/>
          <w:color w:val="333333"/>
          <w:sz w:val="72"/>
          <w:szCs w:val="72"/>
        </w:rPr>
      </w:pPr>
      <w:r w:rsidRPr="007B5050">
        <w:rPr>
          <w:rFonts w:ascii="Times New Roman" w:hAnsi="Times New Roman" w:cs="Times New Roman"/>
          <w:b/>
          <w:color w:val="333333"/>
          <w:sz w:val="72"/>
          <w:szCs w:val="72"/>
        </w:rPr>
        <w:t>«</w:t>
      </w:r>
      <w:r w:rsidR="00926962">
        <w:rPr>
          <w:rFonts w:ascii="Times New Roman" w:hAnsi="Times New Roman" w:cs="Times New Roman"/>
          <w:b/>
          <w:color w:val="333333"/>
          <w:sz w:val="72"/>
          <w:szCs w:val="72"/>
        </w:rPr>
        <w:t>Эмоциональные особенности развития ребёнка среднего возраста</w:t>
      </w:r>
      <w:r w:rsidRPr="007B5050">
        <w:rPr>
          <w:rFonts w:ascii="Times New Roman" w:hAnsi="Times New Roman" w:cs="Times New Roman"/>
          <w:b/>
          <w:color w:val="333333"/>
          <w:sz w:val="72"/>
          <w:szCs w:val="72"/>
        </w:rPr>
        <w:t>»</w:t>
      </w: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B5050" w:rsidRDefault="007B5050" w:rsidP="007B5050">
      <w:pPr>
        <w:ind w:firstLine="42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B5050" w:rsidRPr="007B5050" w:rsidRDefault="007B5050" w:rsidP="007B5050">
      <w:pPr>
        <w:ind w:firstLine="426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 Фомина Н.В.</w:t>
      </w:r>
    </w:p>
    <w:p w:rsidR="007B5050" w:rsidRPr="007B5050" w:rsidRDefault="007B5050" w:rsidP="007B5050">
      <w:pPr>
        <w:ind w:firstLine="851"/>
        <w:jc w:val="both"/>
        <w:rPr>
          <w:rFonts w:ascii="Tahoma" w:hAnsi="Tahoma" w:cs="Tahoma"/>
          <w:color w:val="333333"/>
          <w:sz w:val="72"/>
          <w:szCs w:val="72"/>
        </w:rPr>
      </w:pPr>
    </w:p>
    <w:p w:rsidR="007B5050" w:rsidRP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B5050" w:rsidRPr="007B5050" w:rsidRDefault="007B5050" w:rsidP="007B5050">
      <w:pPr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b/>
          <w:color w:val="333333"/>
          <w:sz w:val="28"/>
          <w:szCs w:val="28"/>
        </w:rPr>
        <w:t>2014 г.</w:t>
      </w:r>
    </w:p>
    <w:p w:rsidR="007B5050" w:rsidRDefault="007B5050" w:rsidP="007B5050">
      <w:pPr>
        <w:ind w:firstLine="851"/>
        <w:jc w:val="both"/>
        <w:rPr>
          <w:rFonts w:ascii="Tahoma" w:hAnsi="Tahoma" w:cs="Tahoma"/>
          <w:color w:val="333333"/>
          <w:sz w:val="20"/>
          <w:szCs w:val="20"/>
        </w:rPr>
      </w:pPr>
    </w:p>
    <w:p w:rsidR="007B5050" w:rsidRDefault="007B5050" w:rsidP="007B5050">
      <w:pPr>
        <w:ind w:firstLine="851"/>
        <w:jc w:val="both"/>
        <w:rPr>
          <w:rFonts w:ascii="Tahoma" w:hAnsi="Tahoma" w:cs="Tahoma"/>
          <w:color w:val="333333"/>
          <w:sz w:val="20"/>
          <w:szCs w:val="20"/>
        </w:rPr>
      </w:pPr>
    </w:p>
    <w:p w:rsidR="007B5050" w:rsidRDefault="007B5050" w:rsidP="007B5050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t>«Для ребёнка нет ничего естественнее, как развиваться, формироваться, становиться тем, что он есть в процессе исследовательской деятельности»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t>С.Л. Рубинштейн</w:t>
      </w:r>
    </w:p>
    <w:p w:rsidR="007B5050" w:rsidRDefault="007B5050" w:rsidP="007B5050">
      <w:pPr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Жизнь во всех ее проявлениях становится все разнообразнее и сложнее; она, чем дальше, тем больше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</w:t>
      </w:r>
      <w:proofErr w:type="gram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Любая деятельность протекает более эффективно и дает качественные результаты, если при этом у личности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 Результаты современных психологических и педагогических исследований (Ю.К.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Бабанский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, Л.А.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Венгер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, Н.А. Ветлугина, Н.Н.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Поддьяков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, И.Д. Зверев, В.В. Запорожец, И.Я.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Лернер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>, А.И. Савенков, Г.И. Щукина и др.) показывают, что возможности умственного развития детей дошкольного возраста значительно выше, чем это предполагалось ранее.</w:t>
      </w:r>
      <w:proofErr w:type="gram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В период дошкольного детства формируются способности к начальным формам обобщения, умозаключения, абстракции. Однако такое познание осуществляется детьми не в понятийной, а в основном в наглядно-образной форме, в процессе деятельности с познаваемыми предметами, объектами. В ходе экспериментально-познавательной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физическом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t>законе, явлении.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t>Термин «экспериментирование</w:t>
      </w:r>
      <w:r w:rsidRPr="007B505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»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понимается нами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Экспериментальная работа вызывает у ребенка интерес к исследованию,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материала.  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 организуемый педагогом, безопасен для ребенка и в то же время знакомит его с различными свойствами окружающих предметов, с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его здоровья. </w:t>
      </w:r>
      <w:proofErr w:type="gram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В связи с этим в дошкольном образовательном учреждении эксперимент должен отвечать следующим условиям: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максимальная простота конструкции приборов и правил обращения с ними,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безотказность действия приборов и однозначность получаемых результатов,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показ только существенных сторон явления или процесса,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отчетливая видимость изучаемого явления,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возможность участия ребенка в повторном показе эксперимента.</w:t>
      </w:r>
      <w:proofErr w:type="gramEnd"/>
    </w:p>
    <w:p w:rsidR="007B5050" w:rsidRDefault="007B5050" w:rsidP="007B5050">
      <w:pPr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самостоятельной экспериментальной деятельности ребенка, обеспечивающей его развитие, возможно при выполнении педагогом двух важных условий: стать реальным участником совместного поиска, а не только его руководителем, включиться в реальный, фактически осуществляемый ребенком эксперимент. Оценка педагогом найденных им способов должна включать анализ критериев — насколько пригоден найденный способ для достижения целей эксперимента: решения задачи или ситуации. Постановка цели и задач эксперимента, их совместное достижение, оценка найденного способа действия — таковы три составляющие личностно-развивающего обучения, исключающего следование строго определенным эталонам и образцам. Важно, что 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Практика подсказывает: полностью заменять предметную среду в группе сложно. Но все-таки при любых обстоятельствах предметный мир, окружающий ребенка, необходимо пополнять и обновлять, что мы и делаем. Только тогда среда способствует формированию познавательной, речевой, двигательной и творческой активности. Организация развивающей среды для экспериментирования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 Все групповое пространство должно быть распределено на центры, которые доступны детям: игрушки, дидактический материал, игры. Дети должны знать, где взять бумагу, краски, карандаши, природный материал, костюмы и атрибуты для игр-инсценировок. Такая организация пространства является одним из условий среды, которое дает возможность педагогу приблизиться к позиции ребенка. Для построения развивающей среды в ДОУ выделяем следующие принципы: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принцип открытости;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lastRenderedPageBreak/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 гибкого зонирования;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 стабильности-динамичности развивающей среды;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полифункциональности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>; Так, в предметно-пространственную среду каждой группы включены не только искусственные объекты, но и естественные, природные. Кроме центров природы в группах, где дети наблюдают и ухаживают за растениями, во всех группах должны быть оборудованы центры экспериментирования, для проведения элементарных опытов, экспериментов.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Поисковая деятельность принципиально отличается от любой другой тем,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</w:t>
      </w:r>
      <w:proofErr w:type="gram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Последняя</w:t>
      </w:r>
      <w:proofErr w:type="gram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возникает значительно позже деятельности экспериментирования». Однако долгое время это не учитывалось системой дошкольного образования, поскольку не подверженные контролю, они на самом деле чреваты последствиями. Каков же выход из положения? Выход в одном – в широком внедрении метода организованного и контролируемого детского экспериментирования — дома и в детском саду, индивидуального и коллективного, во всех видах деятельности. Метод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специальное оборудование. При отборе содержания детского экспериментирования необходимо учитывать возрастные особенности детей, закономерности психического развития ребенка –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сензитивности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разных возрастных периодов к становлению тех или иных психических функций и новообразований; а также жизненный опыт дошкольника. Ребенок проявляет широкую любознательность, к тем предметам и явлениям (близким или далеким), поступкам людей, если сам как-то причастен к ним, интересуется причинно-следственными связями, пытается самостоятельно придумывать объяснения явлениям природы и поступкам людей через призму собственного опыта. Задачи исследовательской деятельности</w:t>
      </w:r>
      <w:r w:rsidR="007C23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специфичны для каждого возраста. В младшем дошкольном возрасте — это: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вхождение детей в проблемную игровую ситуацию (ведущая роль педагога);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активизация желания искать пути разрешения проблемной ситуации (вместе с педагогом);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способность пристальному и целенаправленному 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расследованию объекта;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формирование начальных предпосылок исследовательской деятельности (практические опыты). В старшем дошкольном возрасте– </w:t>
      </w:r>
      <w:proofErr w:type="gram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эт</w:t>
      </w:r>
      <w:proofErr w:type="gram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о: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формирование предпосылок поисковой деятельности, интеллектуальной инициативы;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развитие умения определять возможные методы решения проблемы с помощью взрослого, а затем и самостоятельно;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формирование умения применять данные методы, способствующие решению поставленной задачи, с использованием различных вариантов;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развитие желания пользоваться специальной терминологией, ведение конструктивной беседы в процессе совместной исследовательской деятельности;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способность выдвигать гипотезы и самостоятельно сформулировать выводы. Детское экспериментирование, в отличие от экспериментирования школьников, имеет свои особенности. Оно свободно от обязательности, нельзя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жё</w:t>
      </w:r>
      <w:proofErr w:type="gram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c</w:t>
      </w:r>
      <w:proofErr w:type="gramEnd"/>
      <w:r w:rsidRPr="007B5050">
        <w:rPr>
          <w:rFonts w:ascii="Times New Roman" w:hAnsi="Times New Roman" w:cs="Times New Roman"/>
          <w:color w:val="333333"/>
          <w:sz w:val="28"/>
          <w:szCs w:val="28"/>
        </w:rPr>
        <w:t>тко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регламентировать продолжительность опыта. Необходимо учитывать то, что дошкольникам трудно работать без речевого сопровождения (т.к. именно в старшем дошкольном возрасте наглядно – образное мышление начинает заменяться словесно – логическим и когда начинает формироваться внутренняя речь, дети проходят стадию проговаривания своих действий вслух). Нужно учитывать также индивидуальные различия, имеющиеся между детьми. </w:t>
      </w:r>
      <w:proofErr w:type="gram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Не следует чрезмерно увлекаться фиксированием результатов экспериментов, необходимо учитывать право ребёнка на ошибку, (работа руками детей, дробление одной процедуры на несколько мелких действий, поручаемых разным ребятам, совместная работа воспитателя и детей, помощь воспитателя детям.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gramEnd"/>
    </w:p>
    <w:p w:rsidR="007B5050" w:rsidRDefault="007B5050" w:rsidP="007B5050">
      <w:pPr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>В любом возрасте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Основная задача родителей и воспитателей – поддержать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 Взрослым важно создать условия для продуктивной детской работы: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постепенное усложнение, </w:t>
      </w:r>
      <w:proofErr w:type="spellStart"/>
      <w:r w:rsidRPr="007B5050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организация условий для самостоятельной и учебной деятельности, использование проблемных, ситуаций. Результатом экспериментирования становится опыт самостоятельной деятельности, исследовательской работы, новые знания и умения, составляющие целый спектр психических новообразований.</w:t>
      </w:r>
    </w:p>
    <w:p w:rsidR="007B5050" w:rsidRDefault="007B5050" w:rsidP="007B5050">
      <w:pPr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Памятка для воспитателя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>«Организация детского экспериментирования»</w:t>
      </w:r>
      <w:r w:rsidRPr="007B5050">
        <w:rPr>
          <w:rFonts w:ascii="Times New Roman" w:hAnsi="Times New Roman" w:cs="Times New Roman"/>
          <w:color w:val="333333"/>
          <w:sz w:val="28"/>
          <w:szCs w:val="28"/>
        </w:rPr>
        <w:br/>
        <w:t>1. В группе должен быть оснащен уголок экспериментальной деятельности.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2. Планирование и организация деятельности детей по развитию познавательной активности и развитию представлений о предметном мире. 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3. Планирование и организация игр с природными материалами (песком, водой, глиной). 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4. Использование сюжетных игр-путешествий познавательной направленности. 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>5.Планирование и организация опытов и экспериментов с различными предметами и веществами.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6. Содержание опытов и экспериментов соответствует темам и данной возрастной группе. 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7. Ведется фиксация результатов детского экспериментирования. 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>8. Наблюдается системность в проведении опытно-экспериментальной деятельности.</w:t>
      </w:r>
    </w:p>
    <w:p w:rsidR="007B5050" w:rsidRDefault="007B5050" w:rsidP="007B5050">
      <w:pPr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 xml:space="preserve"> 9. Наличие картотеки опытов и экспериментов в группе. </w:t>
      </w:r>
    </w:p>
    <w:p w:rsidR="007B5050" w:rsidRPr="007B5050" w:rsidRDefault="007B5050" w:rsidP="007B505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5050">
        <w:rPr>
          <w:rFonts w:ascii="Times New Roman" w:hAnsi="Times New Roman" w:cs="Times New Roman"/>
          <w:color w:val="333333"/>
          <w:sz w:val="28"/>
          <w:szCs w:val="28"/>
        </w:rPr>
        <w:t>10. Оснащенность уголка экспериментирования соответствует требованиям и данной возрастной группе.</w:t>
      </w:r>
    </w:p>
    <w:sectPr w:rsidR="007B5050" w:rsidRPr="007B5050" w:rsidSect="007B50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050"/>
    <w:rsid w:val="00097E1C"/>
    <w:rsid w:val="001767FD"/>
    <w:rsid w:val="007B5050"/>
    <w:rsid w:val="007C2377"/>
    <w:rsid w:val="00866C05"/>
    <w:rsid w:val="00926962"/>
    <w:rsid w:val="00D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6</cp:revision>
  <cp:lastPrinted>2014-02-27T06:08:00Z</cp:lastPrinted>
  <dcterms:created xsi:type="dcterms:W3CDTF">2014-02-27T05:45:00Z</dcterms:created>
  <dcterms:modified xsi:type="dcterms:W3CDTF">2014-05-06T07:28:00Z</dcterms:modified>
</cp:coreProperties>
</file>