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Многолетний опыт работы концертмейстером в ансамбле РНИ показ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вает, что е</w:t>
      </w:r>
      <w:r w:rsidRPr="009F0219">
        <w:rPr>
          <w:rFonts w:ascii="Times New Roman" w:hAnsi="Times New Roman"/>
          <w:sz w:val="28"/>
          <w:szCs w:val="28"/>
        </w:rPr>
        <w:t>диным «ключом» к освоению грифа струнных</w:t>
      </w:r>
      <w:r>
        <w:rPr>
          <w:rFonts w:ascii="Times New Roman" w:hAnsi="Times New Roman"/>
          <w:sz w:val="28"/>
          <w:szCs w:val="28"/>
        </w:rPr>
        <w:t xml:space="preserve"> инструментов и правой клавиатуры баяна служит аппликатурная формула тетрахордов (соч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тания четырех звуков): хроматического (с полутоновым соотношением 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ду звуками) и мажорного (соотношение: тон-тон-полутон)</w:t>
      </w:r>
      <w:r>
        <w:rPr>
          <w:rStyle w:val="a5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, с одновременным прохождением изучения нотной зап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си.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народных инструментов следует начинать с хроматическ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тетрахорда, что целесообразно в связи с полутоновым строением грифа струнных инструментов и правой клавиатуры баяна. Полутоновый звукоряд упрощает и первые упражнения по ознакомлению с принципами расстановки пальцев и их чередования, то есть непосредственно с аппликат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рой.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процессе работы над хроматическим тетрахордом формируется практически весь комплекс игровых навыков.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Аппликатурная формула тетрахорда – составная часть других, более крупных построений, таких, как смежные тетрахорды и гамма. На начальном этапе обучения используется именно этот принцип при формировании аппликатуры </w:t>
      </w:r>
      <w:proofErr w:type="spellStart"/>
      <w:r>
        <w:rPr>
          <w:rFonts w:ascii="Times New Roman" w:hAnsi="Times New Roman"/>
          <w:sz w:val="28"/>
          <w:szCs w:val="28"/>
        </w:rPr>
        <w:t>однооктавных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даже </w:t>
      </w:r>
      <w:proofErr w:type="spellStart"/>
      <w:r>
        <w:rPr>
          <w:rFonts w:ascii="Times New Roman" w:hAnsi="Times New Roman"/>
          <w:sz w:val="28"/>
          <w:szCs w:val="28"/>
        </w:rPr>
        <w:t>двухоктавных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гамм. Таким образом, аппликатура тетрахорда, как единая формула, может служить «ключом» к осво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всего диапазона инструмента.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струнников объясняется и сам принцип изменения высоты звучания за счет укорачивания длины струны. Для баянистов – значение косых 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дов как свернутого варианта единого прямого ряда кнопок с полутоновым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ношением между ними.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 в ансамбле начинаются с освоения аппликат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 хроматического тетрахорда в следующем порядке работы: </w:t>
      </w:r>
    </w:p>
    <w:p w:rsidR="00160273" w:rsidRDefault="00160273" w:rsidP="00160273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A3B">
        <w:rPr>
          <w:rFonts w:ascii="Times New Roman" w:hAnsi="Times New Roman"/>
          <w:sz w:val="28"/>
          <w:szCs w:val="28"/>
        </w:rPr>
        <w:lastRenderedPageBreak/>
        <w:t>В группе струнных инструментов освоить аппликатуру хромат</w:t>
      </w:r>
      <w:r w:rsidRPr="005C1A3B">
        <w:rPr>
          <w:rFonts w:ascii="Times New Roman" w:hAnsi="Times New Roman"/>
          <w:sz w:val="28"/>
          <w:szCs w:val="28"/>
        </w:rPr>
        <w:t>и</w:t>
      </w:r>
      <w:r w:rsidRPr="005C1A3B">
        <w:rPr>
          <w:rFonts w:ascii="Times New Roman" w:hAnsi="Times New Roman"/>
          <w:sz w:val="28"/>
          <w:szCs w:val="28"/>
        </w:rPr>
        <w:t xml:space="preserve">ческого тетрахорда от ноты </w:t>
      </w:r>
      <w:r w:rsidRPr="005C1A3B">
        <w:rPr>
          <w:rFonts w:ascii="Times New Roman" w:hAnsi="Times New Roman"/>
          <w:i/>
          <w:sz w:val="28"/>
          <w:szCs w:val="28"/>
        </w:rPr>
        <w:t>ми</w:t>
      </w:r>
      <w:r w:rsidRPr="005C1A3B">
        <w:rPr>
          <w:rFonts w:ascii="Times New Roman" w:hAnsi="Times New Roman"/>
          <w:sz w:val="28"/>
          <w:szCs w:val="28"/>
        </w:rPr>
        <w:t xml:space="preserve"> на третьей струне. </w:t>
      </w:r>
    </w:p>
    <w:p w:rsidR="00160273" w:rsidRDefault="00160273" w:rsidP="00160273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A3B">
        <w:rPr>
          <w:rFonts w:ascii="Times New Roman" w:hAnsi="Times New Roman"/>
          <w:sz w:val="28"/>
          <w:szCs w:val="28"/>
        </w:rPr>
        <w:t xml:space="preserve">Играть секвенции тетрахорда на той же струне, поднимаясь и опускаясь по полутонам. </w:t>
      </w:r>
    </w:p>
    <w:p w:rsidR="00160273" w:rsidRDefault="00160273" w:rsidP="00160273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A3B">
        <w:rPr>
          <w:rFonts w:ascii="Times New Roman" w:hAnsi="Times New Roman"/>
          <w:sz w:val="28"/>
          <w:szCs w:val="28"/>
        </w:rPr>
        <w:t>Играть цепочку смежных тетрахордов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  <w:r w:rsidRPr="005C1A3B">
        <w:rPr>
          <w:rFonts w:ascii="Times New Roman" w:hAnsi="Times New Roman"/>
          <w:sz w:val="28"/>
          <w:szCs w:val="28"/>
        </w:rPr>
        <w:t xml:space="preserve"> на трет</w:t>
      </w:r>
      <w:r w:rsidRPr="005C1A3B">
        <w:rPr>
          <w:rFonts w:ascii="Times New Roman" w:hAnsi="Times New Roman"/>
          <w:sz w:val="28"/>
          <w:szCs w:val="28"/>
        </w:rPr>
        <w:t>ь</w:t>
      </w:r>
      <w:r w:rsidRPr="005C1A3B">
        <w:rPr>
          <w:rFonts w:ascii="Times New Roman" w:hAnsi="Times New Roman"/>
          <w:sz w:val="28"/>
          <w:szCs w:val="28"/>
        </w:rPr>
        <w:t xml:space="preserve">ей струне. </w:t>
      </w:r>
    </w:p>
    <w:p w:rsidR="00160273" w:rsidRPr="005C1A3B" w:rsidRDefault="00160273" w:rsidP="00160273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A3B">
        <w:rPr>
          <w:rFonts w:ascii="Times New Roman" w:hAnsi="Times New Roman"/>
          <w:sz w:val="28"/>
          <w:szCs w:val="28"/>
        </w:rPr>
        <w:t xml:space="preserve">Играть то же на других струнах.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Отсчет исходного звука для игры тетрахордов делается на репетициях ансамбля по схеме грифа</w:t>
      </w:r>
      <w:r>
        <w:rPr>
          <w:rStyle w:val="a5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 xml:space="preserve"> или находится по заданному тону на слух: руков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дитель дает нужный тон, а ученики по слуху находят его на инструменте. Это стимулирует реакцию на высоту и развивает ориентацию на грифе инстр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мента. Опыт работы показывает, что целесообразны перемещения на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большие интервалы, чтобы дать почувствовать взаимосвязь между исходн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звуками тетрахордов. Кроме того, происходит использование и нотной записи. Целесообразно после объяснения назначения нотоносца (как спец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альной графической сетки из пяти линеек для записи звуков разной высоты) осваивать запись нот на нем постепенно, связывая с материалом практич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ских занятий. </w:t>
      </w:r>
      <w:proofErr w:type="gramStart"/>
      <w:r>
        <w:rPr>
          <w:rFonts w:ascii="Times New Roman" w:hAnsi="Times New Roman"/>
          <w:sz w:val="28"/>
          <w:szCs w:val="28"/>
        </w:rPr>
        <w:t>Для большей свободы действий, можно предложить обратиться к другой, условной записи звуков тетрахорда (см. приложение 1.1.</w:t>
      </w:r>
      <w:proofErr w:type="gramEnd"/>
      <w:r>
        <w:rPr>
          <w:rFonts w:ascii="Times New Roman" w:hAnsi="Times New Roman"/>
          <w:sz w:val="28"/>
          <w:szCs w:val="28"/>
        </w:rPr>
        <w:t xml:space="preserve"> Рис.1). На репетиции это происходит следующим образом</w:t>
      </w:r>
      <w:r>
        <w:rPr>
          <w:rStyle w:val="a5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. Руководитель объясняет, что хроматический тетрахорд – это последовательность из четырех звуков, интервалы между которыми равны полутону. Соответственно на грифе струнных инструментов – если первый </w:t>
      </w:r>
      <w:r>
        <w:rPr>
          <w:rFonts w:ascii="Times New Roman" w:hAnsi="Times New Roman"/>
          <w:sz w:val="28"/>
          <w:szCs w:val="28"/>
        </w:rPr>
        <w:lastRenderedPageBreak/>
        <w:t>звук берется на открытой третьей струне, то другие звуки тетр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хорда будут извлекаться последовательно – на 1-м, 2-м и 3-м ладу этой 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ны.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он говорит, что звук, который берется на третьей открытой струне домры (балалайки), – самый низкий для этого инстр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мента. Это – это звук </w:t>
      </w:r>
      <w:r>
        <w:rPr>
          <w:rFonts w:ascii="Times New Roman" w:hAnsi="Times New Roman"/>
          <w:i/>
          <w:sz w:val="28"/>
          <w:szCs w:val="28"/>
        </w:rPr>
        <w:t>ми.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E3711D">
        <w:rPr>
          <w:rFonts w:ascii="Times New Roman" w:hAnsi="Times New Roman"/>
          <w:sz w:val="28"/>
          <w:szCs w:val="28"/>
        </w:rPr>
        <w:t>нотоносце</w:t>
      </w:r>
      <w:r>
        <w:rPr>
          <w:rStyle w:val="a5"/>
          <w:rFonts w:ascii="Times New Roman" w:hAnsi="Times New Roman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, состоящем из пяти линеек, звук </w:t>
      </w:r>
      <w:r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записывается на 1-й самой нижней линейке. Чтобы записать второй звук тетрахорда, нужно найти для него более высокое место. Руководитель записывает второй звук – ноту </w:t>
      </w:r>
      <w:r>
        <w:rPr>
          <w:rFonts w:ascii="Times New Roman" w:hAnsi="Times New Roman"/>
          <w:i/>
          <w:sz w:val="28"/>
          <w:szCs w:val="28"/>
        </w:rPr>
        <w:t>фа</w:t>
      </w:r>
      <w:r>
        <w:rPr>
          <w:rFonts w:ascii="Times New Roman" w:hAnsi="Times New Roman"/>
          <w:sz w:val="28"/>
          <w:szCs w:val="28"/>
        </w:rPr>
        <w:t xml:space="preserve"> – между 1-й и 2-й линейками. На этих двух нотах уже можно принцип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 понять систему расположения звуков по высоте на нотоносце. Далее играется несколько ритмизированных упражнений из этих двух звуков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. приложение 2.1. №1). Третья нота хроматического тетрахорда – </w:t>
      </w:r>
      <w:r w:rsidRPr="00DB5634">
        <w:rPr>
          <w:rFonts w:ascii="Times New Roman" w:hAnsi="Times New Roman"/>
          <w:i/>
          <w:sz w:val="28"/>
          <w:szCs w:val="28"/>
        </w:rPr>
        <w:t>фа-диез</w:t>
      </w:r>
      <w:r>
        <w:rPr>
          <w:rStyle w:val="a5"/>
          <w:rFonts w:ascii="Times New Roman" w:hAnsi="Times New Roman"/>
          <w:i/>
          <w:sz w:val="28"/>
          <w:szCs w:val="28"/>
        </w:rPr>
        <w:footnoteReference w:id="7"/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D55F56">
        <w:rPr>
          <w:rFonts w:ascii="Times New Roman" w:hAnsi="Times New Roman"/>
          <w:sz w:val="28"/>
          <w:szCs w:val="28"/>
        </w:rPr>
        <w:t>берется</w:t>
      </w:r>
      <w:r>
        <w:rPr>
          <w:rFonts w:ascii="Times New Roman" w:hAnsi="Times New Roman"/>
          <w:sz w:val="28"/>
          <w:szCs w:val="28"/>
        </w:rPr>
        <w:t xml:space="preserve"> 2-м пальцем, записывается между 1-й и 2-й линейками нотоносца. Для закрепления материала нужно поиграть несколько новых упражнений, включа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уже три ноты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. приложение 2.1. №2).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этого идет </w:t>
      </w:r>
      <w:r w:rsidRPr="008001EB">
        <w:rPr>
          <w:rFonts w:ascii="Times New Roman" w:hAnsi="Times New Roman"/>
          <w:i/>
          <w:sz w:val="28"/>
          <w:szCs w:val="28"/>
        </w:rPr>
        <w:t>рассказ</w:t>
      </w:r>
      <w:r>
        <w:rPr>
          <w:rFonts w:ascii="Times New Roman" w:hAnsi="Times New Roman"/>
          <w:sz w:val="28"/>
          <w:szCs w:val="28"/>
        </w:rPr>
        <w:t xml:space="preserve"> о четвертой ноте тетрахорда – </w:t>
      </w:r>
      <w:r>
        <w:rPr>
          <w:rFonts w:ascii="Times New Roman" w:hAnsi="Times New Roman"/>
          <w:i/>
          <w:sz w:val="28"/>
          <w:szCs w:val="28"/>
        </w:rPr>
        <w:t xml:space="preserve">соль, </w:t>
      </w:r>
      <w:r>
        <w:rPr>
          <w:rFonts w:ascii="Times New Roman" w:hAnsi="Times New Roman"/>
          <w:sz w:val="28"/>
          <w:szCs w:val="28"/>
        </w:rPr>
        <w:t>которая записывается на 2-й линейке нотоносца. Играются новые упражнения, содержащие развернутые аппликатурные и ритмические варианты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жение 2.1. №3).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Следующая стадия работы над хроматическим тетрахордом при обучении в ансамбле – использование его как исходного материала для художес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венной обработки. Имеется в виду возможность привлечь материал из темы «Освоение средств выразительного исполнения»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, взяв для начала самые простые для этого уровня приемы сопровождения. Из динамики - контрас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ное сопоставление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7C5A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, из артикуляции – легато (пальцевое), нон легато и стаккато.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то же время здесь ведется работа над пластикой движений, акцент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руется внимание на основных игровых приемах - </w:t>
      </w:r>
      <w:r>
        <w:rPr>
          <w:rFonts w:ascii="Times New Roman" w:hAnsi="Times New Roman"/>
          <w:spacing w:val="40"/>
          <w:sz w:val="28"/>
          <w:szCs w:val="28"/>
        </w:rPr>
        <w:t xml:space="preserve">нажиме, толчке и броске. </w:t>
      </w:r>
      <w:r>
        <w:rPr>
          <w:rFonts w:ascii="Times New Roman" w:hAnsi="Times New Roman"/>
          <w:sz w:val="28"/>
          <w:szCs w:val="28"/>
        </w:rPr>
        <w:t>Еще раз напоминается воспитанникам о различии в технике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полнения этих приемов, уточняются функции плеча, предплечья и кисти в каждом из них. По мере их освоения основное внимание обращается непосредственно на звуковой результат, для постепенного переключения внимания от зрительного восприятия на слуховое восприятие. В этот период обучения все чаще можно просить играть воспитанников, не глядя на гриф инструмента или правую руку, а несколько позже и совсем отказаться от зрительного контроля. В такие моменты происходит напоминание ребятам о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вильной осанке, положении головы. Избегая формального характера, этот момент обыгрывается следующим образом. Участников коллектива просят поочередно поворачиваться (и не только головой, а по возможности и всем корп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сом) к соседу, поочередно справа и с лева. При этом возможна и легкая естественная улыбка. Первое время это вызывает бурную реакцию, но со временем происходит привыкание, и действительно несколько отвлека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щий от игры взгляд «в пространство» постепенно углубляется и переходит во «взгляд в себя». Это и есть тот долгожданный момент, когда начнет с полной творческой отдачей работать </w:t>
      </w:r>
      <w:r>
        <w:rPr>
          <w:rFonts w:ascii="Times New Roman" w:hAnsi="Times New Roman"/>
          <w:spacing w:val="40"/>
          <w:sz w:val="28"/>
          <w:szCs w:val="28"/>
        </w:rPr>
        <w:t>мышление,</w:t>
      </w:r>
      <w:r>
        <w:rPr>
          <w:rFonts w:ascii="Times New Roman" w:hAnsi="Times New Roman"/>
          <w:sz w:val="28"/>
          <w:szCs w:val="28"/>
        </w:rPr>
        <w:t xml:space="preserve"> над ритмом, высотой, динамикой, 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мысленной артикуляцией и т.д. т.п.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нового материала требует повторного прохождения этих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дий освоения, но как показывает практика, всегда нужно стремиться к тому, чтобы доводить каждое задание до доступной на данный момент художес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венной и технической завершенности.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освоения в определенной степени хроматического тетрахорда </w:t>
      </w:r>
      <w:proofErr w:type="spellStart"/>
      <w:r>
        <w:rPr>
          <w:rFonts w:ascii="Times New Roman" w:hAnsi="Times New Roman"/>
          <w:sz w:val="28"/>
          <w:szCs w:val="28"/>
        </w:rPr>
        <w:t>ми+фа+фа-диез+соль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 продолжается по секвенциям этого тетрахо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да. Данный пример работы, где первый звук извлекается на открытой </w:t>
      </w:r>
      <w:r w:rsidRPr="002D7DB8">
        <w:rPr>
          <w:rFonts w:ascii="Times New Roman" w:hAnsi="Times New Roman"/>
          <w:sz w:val="28"/>
          <w:szCs w:val="28"/>
        </w:rPr>
        <w:t>струне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, характерен тем, что может быть </w:t>
      </w:r>
      <w:proofErr w:type="spellStart"/>
      <w:r>
        <w:rPr>
          <w:rFonts w:ascii="Times New Roman" w:hAnsi="Times New Roman"/>
          <w:sz w:val="28"/>
          <w:szCs w:val="28"/>
        </w:rPr>
        <w:t>секвентно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повторен только с открытой 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i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и с открытой струны </w:t>
      </w:r>
      <w:r>
        <w:rPr>
          <w:rFonts w:ascii="Times New Roman" w:hAnsi="Times New Roman"/>
          <w:i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 (на домре). </w:t>
      </w:r>
      <w:proofErr w:type="gramStart"/>
      <w:r>
        <w:rPr>
          <w:rFonts w:ascii="Times New Roman" w:hAnsi="Times New Roman"/>
          <w:sz w:val="28"/>
          <w:szCs w:val="28"/>
        </w:rPr>
        <w:t>(См. приложение 1.1.</w:t>
      </w:r>
      <w:proofErr w:type="gramEnd"/>
      <w:r>
        <w:rPr>
          <w:rFonts w:ascii="Times New Roman" w:hAnsi="Times New Roman"/>
          <w:sz w:val="28"/>
          <w:szCs w:val="28"/>
        </w:rPr>
        <w:t xml:space="preserve"> Рис.2) 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Другой вариант без использования открытых струн, например</w:t>
      </w:r>
      <w:r w:rsidRPr="00D04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ноты </w:t>
      </w:r>
      <w:proofErr w:type="gramStart"/>
      <w:r>
        <w:rPr>
          <w:rFonts w:ascii="Times New Roman" w:hAnsi="Times New Roman"/>
          <w:i/>
          <w:sz w:val="28"/>
          <w:szCs w:val="28"/>
        </w:rPr>
        <w:t>фа</w:t>
      </w:r>
      <w:proofErr w:type="gramEnd"/>
      <w:r>
        <w:rPr>
          <w:rFonts w:ascii="Times New Roman" w:hAnsi="Times New Roman"/>
          <w:sz w:val="28"/>
          <w:szCs w:val="28"/>
        </w:rPr>
        <w:t xml:space="preserve"> дает возможность игры секвенций по всему диапазону инструмента (см. приложение 1.1. Рис. 3).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участники струнной группы могут приступить к осво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всего диапазона инструмента, играя упражнения, выученные в первой позиции. Метод </w:t>
      </w:r>
      <w:proofErr w:type="spellStart"/>
      <w:r>
        <w:rPr>
          <w:rFonts w:ascii="Times New Roman" w:hAnsi="Times New Roman"/>
          <w:sz w:val="28"/>
          <w:szCs w:val="28"/>
        </w:rPr>
        <w:t>секвенцирования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позволяет сделать это достаточно легко: подобно распеванию в хоре, руководитель задает нужную «программу», а участники коллектива следуют за ним, имея в своем распоряжении уже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вестные им короткие упражнения-формулы. Внимание при их многократном повторении направлено на решение задач, не связанных с чтением нотного текста, и позволяет сразу же обращаться к исполнительским проблемам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лее высокого порядка.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традиционный метод работы начинающего оркестра (ансамбля) ставит развитие исполнительских навыков в прямую зависимость от умения читать ноты. Участники надолго остаются привязанными к определенному кругу тональностей, а </w:t>
      </w:r>
      <w:proofErr w:type="spellStart"/>
      <w:r>
        <w:rPr>
          <w:rFonts w:ascii="Times New Roman" w:hAnsi="Times New Roman"/>
          <w:sz w:val="28"/>
          <w:szCs w:val="28"/>
        </w:rPr>
        <w:t>поступенные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взаимоотношения между звуками, ме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ленным и умеренным темпам исполнения, ограниченному использованию разнообразных выразительных средств (так как в данной партии они могут появляться редко). Необходимость повышения эффективности обучения выдвигает задачу перемещения акцента с упражнений в чтении нот на упражнения в совершенствовании профессиональных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нительских навыков.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Этому может способствовать временное введение облегченной системы записи, в которой отражены не интервальные, а </w:t>
      </w:r>
      <w:proofErr w:type="spellStart"/>
      <w:r>
        <w:rPr>
          <w:rFonts w:ascii="Times New Roman" w:hAnsi="Times New Roman"/>
          <w:sz w:val="28"/>
          <w:szCs w:val="28"/>
        </w:rPr>
        <w:t>поступенные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ношения между звуками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. приложение 2.1. № 4).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с разновидностями инструментов домровой группы воспита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никам говориться о том, что аппликатура альтовой домры несколько отлич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ется от аппликатуры малой домры. Поэтому при игре на этом </w:t>
      </w:r>
      <w:r>
        <w:rPr>
          <w:rFonts w:ascii="Times New Roman" w:hAnsi="Times New Roman"/>
          <w:sz w:val="28"/>
          <w:szCs w:val="28"/>
        </w:rPr>
        <w:lastRenderedPageBreak/>
        <w:t>инструменте позиция руки в начале грифа сужается из-за более широкой мензуры инструмента (расстояния между 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дами)</w:t>
      </w:r>
      <w:r>
        <w:rPr>
          <w:rStyle w:val="a5"/>
          <w:rFonts w:ascii="Times New Roman" w:hAnsi="Times New Roman"/>
          <w:sz w:val="28"/>
          <w:szCs w:val="28"/>
        </w:rPr>
        <w:footnoteReference w:id="8"/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Аппликатура басовой домры основывается главным образом на расп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ложении пальцев по полутонам.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Аппликатура грифа балалайки примы, секунды и альта также осваив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в процессе игры тетрахордов. Сначала идет освоение хроматического тетрахорда, а затем – мажорного, смежных мажорных тетрахордов и мажо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ной гаммы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приложение 2.1. №№ 5-8; 2.2. №№ 9-10).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Аппликатура аккордов в группе балалаек имеет свою специфику, что вызвано частым употреблением в игре большого пальца. Это условие накладывает определенный отпечаток и на технику левой руки, придавая ее дв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жениям и позициям (хваткам) разнообразный характер. Игра аккордов и двойных нот требует самых неожиданных положений рук, а потому с трудом укладывается в схему какого-либо правила. Тем не менее, воспитанникам объясняется то, что, основным исходным положением следует все же считать положение руки, необходимое для игры одноголосных тетрахордов, а все другие позиции рассматриваются как временное отклонения от него. Это дает возможность каким-то образом систематизировать процесс освоения гр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фа на начальном этапе обучения.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Аппликатура грифа балалайки контрабаса требует особого подхода при обучении игре на этом инструменте. Инструмент имеет большое расстояние между ладами, особенно в начале грифа, а также требует необходимости значительных физических усилий при нажатии на струну. Поэтом воспитанн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кам, играющим на этом инструменте, объясняется специальная аппликатура. Ее принципиальное отличие в том, что в первых позициях струна прижим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ется к ладу не одним, а двумя пальцами. Таким образом, для </w:t>
      </w:r>
      <w:r>
        <w:rPr>
          <w:rFonts w:ascii="Times New Roman" w:hAnsi="Times New Roman"/>
          <w:sz w:val="28"/>
          <w:szCs w:val="28"/>
        </w:rPr>
        <w:lastRenderedPageBreak/>
        <w:t>игры хромат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ческого тетрахорда необходима следующая аппликатура: 0 – 1+2 – 2+3 – 3+4.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более высоких позициях прижимать струну к ладам легче, поэтому возможно первым и вторым пальцами играть обычно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>. приложение 2.2. №10). При объяснении техники перехода говорится о том, что движение руки сопров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ждается некоторым толчкообразным фиксированием каждого звука от плеча и даже некоторой вибрацией, как бы утверждающей появление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вого звука. Это обеспечивает точность попадания левой руки на нужный лад, особенно при скачках. Пальцы при этом держатся собранными, прижатыми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сколько друг к другу, что дает дополнительную устойчивость.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«ключа» для освоения правой клавиатуры баяна также при обучении используется аппликатура тетрахордов. Обучение начинается с хроматического тетрахорда. </w:t>
      </w:r>
      <w:proofErr w:type="gramStart"/>
      <w:r>
        <w:rPr>
          <w:rFonts w:ascii="Times New Roman" w:hAnsi="Times New Roman"/>
          <w:sz w:val="28"/>
          <w:szCs w:val="28"/>
        </w:rPr>
        <w:t>Порядок работы следующий (см. приложение 1.2.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Таблица 1.):</w:t>
      </w:r>
      <w:proofErr w:type="gramEnd"/>
    </w:p>
    <w:p w:rsidR="00160273" w:rsidRDefault="00160273" w:rsidP="00160273">
      <w:pPr>
        <w:numPr>
          <w:ilvl w:val="2"/>
          <w:numId w:val="1"/>
        </w:numPr>
        <w:spacing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Освоить аппликатуру хроматического тетрахорда с первого ряда, 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рать секвенции вверх и вниз. </w:t>
      </w:r>
    </w:p>
    <w:p w:rsidR="00160273" w:rsidRDefault="00160273" w:rsidP="00160273">
      <w:pPr>
        <w:numPr>
          <w:ilvl w:val="2"/>
          <w:numId w:val="1"/>
        </w:numPr>
        <w:spacing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Освоить варианты аппликатуры со второго, играть секвенции. </w:t>
      </w:r>
    </w:p>
    <w:p w:rsidR="00160273" w:rsidRDefault="00160273" w:rsidP="00160273">
      <w:pPr>
        <w:numPr>
          <w:ilvl w:val="2"/>
          <w:numId w:val="1"/>
        </w:numPr>
        <w:spacing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же с третьего ряда. </w:t>
      </w:r>
    </w:p>
    <w:p w:rsidR="00160273" w:rsidRDefault="00160273" w:rsidP="00160273">
      <w:pPr>
        <w:numPr>
          <w:ilvl w:val="2"/>
          <w:numId w:val="1"/>
        </w:numPr>
        <w:spacing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Играть короткие арпеджио уменьшенного септаккорда или аккорды из его звуков всеми четырьмя пальцами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приложение 2.2.№11).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освоения хроматического тетрахорда таким же образом идет изучение мажорного и смежных тетрахордов (</w:t>
      </w:r>
      <w:proofErr w:type="gramStart"/>
      <w:r>
        <w:rPr>
          <w:rFonts w:ascii="Times New Roman" w:hAnsi="Times New Roman"/>
          <w:sz w:val="28"/>
          <w:szCs w:val="28"/>
        </w:rPr>
        <w:t>см</w:t>
      </w:r>
      <w:proofErr w:type="gramEnd"/>
      <w:r>
        <w:rPr>
          <w:rFonts w:ascii="Times New Roman" w:hAnsi="Times New Roman"/>
          <w:sz w:val="28"/>
          <w:szCs w:val="28"/>
        </w:rPr>
        <w:t xml:space="preserve">. приложение 2.3.№12; 2.4.№13). </w:t>
      </w:r>
    </w:p>
    <w:p w:rsidR="00160273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Аппликатура с использованием большого пальца</w:t>
      </w:r>
      <w:r>
        <w:rPr>
          <w:rStyle w:val="a5"/>
          <w:rFonts w:ascii="Times New Roman" w:hAnsi="Times New Roman"/>
          <w:sz w:val="28"/>
          <w:szCs w:val="28"/>
        </w:rPr>
        <w:footnoteReference w:id="9"/>
      </w:r>
      <w:r>
        <w:rPr>
          <w:rFonts w:ascii="Times New Roman" w:hAnsi="Times New Roman"/>
          <w:sz w:val="28"/>
          <w:szCs w:val="28"/>
        </w:rPr>
        <w:t xml:space="preserve"> применяется в на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более удобных позициях, например при игре мажорного тетрахорда – с третьего ряда. Но делается это несколько позже, когда будет достигнута некоторая свобода в ориентировании на грифе основными (1, 2, 3 и 4) пальц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ми. </w:t>
      </w:r>
    </w:p>
    <w:p w:rsidR="00160273" w:rsidRPr="00414130" w:rsidRDefault="00160273" w:rsidP="0016027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Левая клавиатура баяна, как правило, не используется в ансамбле (о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кестре) РНИ, но на индивидуальных занятиях знакомство с ее конструкцией происходит. Для освоения басов используется аппликатурная формула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жорного тетрахорда для двух рядов (основного и вспомогательного). Аппл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катура готовых аккордов осваивается в разделе «Аккомпанемент»</w:t>
      </w:r>
      <w:r>
        <w:rPr>
          <w:rFonts w:ascii="Times New Roman" w:hAnsi="Times New Roman"/>
          <w:sz w:val="28"/>
          <w:szCs w:val="28"/>
          <w:vertAlign w:val="superscript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000000" w:rsidRDefault="0016027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73" w:rsidRDefault="00160273" w:rsidP="00160273">
      <w:pPr>
        <w:spacing w:after="0" w:line="240" w:lineRule="auto"/>
      </w:pPr>
      <w:r>
        <w:separator/>
      </w:r>
    </w:p>
  </w:endnote>
  <w:endnote w:type="continuationSeparator" w:id="1">
    <w:p w:rsidR="00160273" w:rsidRDefault="00160273" w:rsidP="0016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73" w:rsidRDefault="00160273" w:rsidP="00160273">
      <w:pPr>
        <w:spacing w:after="0" w:line="240" w:lineRule="auto"/>
      </w:pPr>
      <w:r>
        <w:separator/>
      </w:r>
    </w:p>
  </w:footnote>
  <w:footnote w:type="continuationSeparator" w:id="1">
    <w:p w:rsidR="00160273" w:rsidRDefault="00160273" w:rsidP="00160273">
      <w:pPr>
        <w:spacing w:after="0" w:line="240" w:lineRule="auto"/>
      </w:pPr>
      <w:r>
        <w:continuationSeparator/>
      </w:r>
    </w:p>
  </w:footnote>
  <w:footnote w:id="2">
    <w:p w:rsidR="00160273" w:rsidRDefault="00160273" w:rsidP="00160273">
      <w:pPr>
        <w:pStyle w:val="a3"/>
      </w:pPr>
      <w:r>
        <w:rPr>
          <w:rStyle w:val="a5"/>
        </w:rPr>
        <w:footnoteRef/>
      </w:r>
      <w:r>
        <w:t xml:space="preserve"> Для освоения аппликатуры в программе (</w:t>
      </w:r>
      <w:proofErr w:type="gramStart"/>
      <w:r>
        <w:t>см</w:t>
      </w:r>
      <w:proofErr w:type="gramEnd"/>
      <w:r>
        <w:t xml:space="preserve">. самостоятельную работу №4, </w:t>
      </w:r>
      <w:r>
        <w:rPr>
          <w:lang w:val="en-US"/>
        </w:rPr>
        <w:t>III</w:t>
      </w:r>
      <w:r>
        <w:t xml:space="preserve"> ступень обучения) отв</w:t>
      </w:r>
      <w:r>
        <w:t>о</w:t>
      </w:r>
      <w:r>
        <w:t>дится специальный раздел – «Аппликатура».</w:t>
      </w:r>
    </w:p>
  </w:footnote>
  <w:footnote w:id="3">
    <w:p w:rsidR="00160273" w:rsidRDefault="00160273" w:rsidP="00160273">
      <w:pPr>
        <w:pStyle w:val="a3"/>
      </w:pPr>
      <w:r>
        <w:rPr>
          <w:rStyle w:val="a5"/>
        </w:rPr>
        <w:footnoteRef/>
      </w:r>
      <w:r>
        <w:t xml:space="preserve"> Смежные тетрахорды – система из двух тетрахордов. Последний звук предыдущего является первым зв</w:t>
      </w:r>
      <w:r>
        <w:t>у</w:t>
      </w:r>
      <w:r>
        <w:t>ком последующего тетрахорда.</w:t>
      </w:r>
    </w:p>
  </w:footnote>
  <w:footnote w:id="4">
    <w:p w:rsidR="00160273" w:rsidRDefault="00160273" w:rsidP="00160273">
      <w:pPr>
        <w:pStyle w:val="a3"/>
      </w:pPr>
      <w:r>
        <w:rPr>
          <w:rStyle w:val="a5"/>
        </w:rPr>
        <w:footnoteRef/>
      </w:r>
      <w:r>
        <w:t xml:space="preserve"> Перед группой висит укрупненная схема грифа инструмента, как наглядное пособие.</w:t>
      </w:r>
    </w:p>
  </w:footnote>
  <w:footnote w:id="5">
    <w:p w:rsidR="00160273" w:rsidRPr="00E3711D" w:rsidRDefault="00160273" w:rsidP="00160273">
      <w:pPr>
        <w:pStyle w:val="a3"/>
      </w:pPr>
      <w:r>
        <w:rPr>
          <w:rStyle w:val="a5"/>
        </w:rPr>
        <w:footnoteRef/>
      </w:r>
      <w:r>
        <w:t xml:space="preserve"> См. самосто</w:t>
      </w:r>
      <w:r>
        <w:t>я</w:t>
      </w:r>
      <w:r>
        <w:t xml:space="preserve">тельную работу №4, </w:t>
      </w:r>
      <w:r>
        <w:rPr>
          <w:lang w:val="en-US"/>
        </w:rPr>
        <w:t>III</w:t>
      </w:r>
      <w:r>
        <w:t xml:space="preserve"> ступень, 1-й год обучения.  </w:t>
      </w:r>
    </w:p>
    <w:p w:rsidR="00160273" w:rsidRDefault="00160273" w:rsidP="00160273">
      <w:pPr>
        <w:pStyle w:val="a3"/>
      </w:pPr>
    </w:p>
  </w:footnote>
  <w:footnote w:id="6">
    <w:p w:rsidR="00160273" w:rsidRPr="00E3711D" w:rsidRDefault="00160273" w:rsidP="00160273">
      <w:pPr>
        <w:pStyle w:val="a3"/>
      </w:pPr>
      <w:r>
        <w:rPr>
          <w:rStyle w:val="a5"/>
        </w:rPr>
        <w:footnoteRef/>
      </w:r>
      <w:r>
        <w:t xml:space="preserve"> Основные понятия о нотной записи даются раньше (в теме «Высотная организация звуков»).   </w:t>
      </w:r>
    </w:p>
  </w:footnote>
  <w:footnote w:id="7">
    <w:p w:rsidR="00160273" w:rsidRDefault="00160273" w:rsidP="00160273">
      <w:pPr>
        <w:pStyle w:val="a3"/>
      </w:pPr>
      <w:r>
        <w:rPr>
          <w:rStyle w:val="a5"/>
        </w:rPr>
        <w:footnoteRef/>
      </w:r>
      <w:r>
        <w:t xml:space="preserve"> Объяснение </w:t>
      </w:r>
      <w:r>
        <w:rPr>
          <w:i/>
        </w:rPr>
        <w:t>фа-диез</w:t>
      </w:r>
      <w:r>
        <w:t xml:space="preserve"> происходит раньше (в теме «Высотная организация звуков»), при рассказе о тоне и полутоне вводятся понятия  </w:t>
      </w:r>
      <w:r>
        <w:rPr>
          <w:i/>
        </w:rPr>
        <w:t>знаки альтерации, диез, бемоль.</w:t>
      </w:r>
    </w:p>
  </w:footnote>
  <w:footnote w:id="8">
    <w:p w:rsidR="00160273" w:rsidRDefault="00160273" w:rsidP="00160273">
      <w:pPr>
        <w:pStyle w:val="a3"/>
      </w:pPr>
      <w:r>
        <w:rPr>
          <w:rStyle w:val="a5"/>
        </w:rPr>
        <w:footnoteRef/>
      </w:r>
      <w:r>
        <w:t xml:space="preserve"> Дети или подростки с небольшой рукой, играющие на малой домре в первой позиции так же используют суженную позицию пальцев, аналогичную игре на альтовой домре.</w:t>
      </w:r>
    </w:p>
  </w:footnote>
  <w:footnote w:id="9">
    <w:p w:rsidR="00160273" w:rsidRDefault="00160273" w:rsidP="00160273">
      <w:pPr>
        <w:pStyle w:val="a3"/>
      </w:pPr>
      <w:r>
        <w:rPr>
          <w:rStyle w:val="a5"/>
        </w:rPr>
        <w:footnoteRef/>
      </w:r>
      <w:r>
        <w:t xml:space="preserve"> Обозначение пальцев: большой – б, указательный – 1, средний – 2, безымянный – 3, мизинец – 4 (наиб</w:t>
      </w:r>
      <w:r>
        <w:t>о</w:t>
      </w:r>
      <w:r>
        <w:t xml:space="preserve">лее удобная  аппликатура при начальном обучении).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C6DF1"/>
    <w:multiLevelType w:val="hybridMultilevel"/>
    <w:tmpl w:val="21F0724C"/>
    <w:lvl w:ilvl="0" w:tplc="6058A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062057"/>
    <w:multiLevelType w:val="hybridMultilevel"/>
    <w:tmpl w:val="E46A4D50"/>
    <w:lvl w:ilvl="0" w:tplc="6058AB72">
      <w:start w:val="1"/>
      <w:numFmt w:val="bullet"/>
      <w:lvlText w:val=""/>
      <w:lvlJc w:val="left"/>
      <w:pPr>
        <w:ind w:left="2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8AB7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273"/>
    <w:rsid w:val="0016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0273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160273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1602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2013-01-18T04:56:00Z</dcterms:created>
  <dcterms:modified xsi:type="dcterms:W3CDTF">2013-01-18T04:59:00Z</dcterms:modified>
</cp:coreProperties>
</file>