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F2" w:rsidRDefault="004975F2" w:rsidP="004975F2">
      <w:pPr>
        <w:shd w:val="clear" w:color="auto" w:fill="FFFFFF"/>
        <w:ind w:left="1502"/>
        <w:jc w:val="center"/>
        <w:rPr>
          <w:b/>
          <w:bCs/>
          <w:spacing w:val="-10"/>
          <w:sz w:val="24"/>
          <w:szCs w:val="24"/>
        </w:rPr>
      </w:pPr>
      <w:bookmarkStart w:id="0" w:name="_GoBack"/>
      <w:bookmarkEnd w:id="0"/>
      <w:r>
        <w:rPr>
          <w:b/>
          <w:bCs/>
          <w:spacing w:val="-10"/>
          <w:sz w:val="24"/>
          <w:szCs w:val="24"/>
        </w:rPr>
        <w:t>Динамика уровня развития классного коллектива  учащихся 11б класса</w:t>
      </w:r>
      <w:r>
        <w:rPr>
          <w:b/>
          <w:bCs/>
          <w:noProof/>
          <w:spacing w:val="-10"/>
          <w:sz w:val="24"/>
          <w:szCs w:val="24"/>
        </w:rPr>
        <w:drawing>
          <wp:inline distT="0" distB="0" distL="0" distR="0">
            <wp:extent cx="8372475" cy="22574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75F2" w:rsidRDefault="004975F2" w:rsidP="004975F2">
      <w:pPr>
        <w:shd w:val="clear" w:color="auto" w:fill="FFFFFF"/>
        <w:ind w:left="1502"/>
        <w:jc w:val="center"/>
        <w:rPr>
          <w:b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jc w:val="center"/>
        <w:rPr>
          <w:b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jc w:val="center"/>
        <w:rPr>
          <w:b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jc w:val="center"/>
        <w:rPr>
          <w:b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jc w:val="center"/>
        <w:rPr>
          <w:b/>
          <w:bCs/>
          <w:spacing w:val="-10"/>
          <w:sz w:val="24"/>
          <w:szCs w:val="24"/>
        </w:rPr>
      </w:pPr>
      <w:r>
        <w:rPr>
          <w:b/>
          <w:sz w:val="24"/>
          <w:szCs w:val="24"/>
        </w:rPr>
        <w:t xml:space="preserve"> Анализ межличностных отношений </w:t>
      </w:r>
      <w:r>
        <w:rPr>
          <w:b/>
          <w:bCs/>
          <w:spacing w:val="-10"/>
          <w:sz w:val="24"/>
          <w:szCs w:val="24"/>
        </w:rPr>
        <w:t>учащихся 11б класса</w:t>
      </w:r>
    </w:p>
    <w:p w:rsidR="004975F2" w:rsidRDefault="004975F2" w:rsidP="004975F2">
      <w:pPr>
        <w:shd w:val="clear" w:color="auto" w:fill="FFFFFF"/>
        <w:ind w:left="1502"/>
        <w:jc w:val="center"/>
        <w:rPr>
          <w:b/>
          <w:bCs/>
          <w:spacing w:val="-10"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jc w:val="center"/>
      </w:pPr>
      <w:r>
        <w:rPr>
          <w:b/>
          <w:bCs/>
          <w:noProof/>
          <w:spacing w:val="-10"/>
          <w:sz w:val="24"/>
          <w:szCs w:val="24"/>
        </w:rPr>
        <w:drawing>
          <wp:inline distT="0" distB="0" distL="0" distR="0">
            <wp:extent cx="7419975" cy="21336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bCs/>
          <w:spacing w:val="-10"/>
          <w:sz w:val="24"/>
          <w:szCs w:val="24"/>
        </w:rPr>
        <w:t xml:space="preserve"> </w:t>
      </w:r>
    </w:p>
    <w:p w:rsidR="004975F2" w:rsidRDefault="004975F2" w:rsidP="004975F2">
      <w:pPr>
        <w:shd w:val="clear" w:color="auto" w:fill="FFFFFF"/>
        <w:ind w:left="1502"/>
        <w:rPr>
          <w:b/>
          <w:bCs/>
          <w:spacing w:val="-10"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rPr>
          <w:b/>
          <w:bCs/>
          <w:spacing w:val="-10"/>
          <w:sz w:val="24"/>
          <w:szCs w:val="24"/>
        </w:rPr>
      </w:pPr>
    </w:p>
    <w:p w:rsidR="004975F2" w:rsidRDefault="004975F2" w:rsidP="004975F2">
      <w:pPr>
        <w:shd w:val="clear" w:color="auto" w:fill="FFFFFF"/>
        <w:ind w:left="1502"/>
        <w:rPr>
          <w:b/>
          <w:bCs/>
          <w:spacing w:val="-10"/>
          <w:sz w:val="24"/>
          <w:szCs w:val="24"/>
        </w:rPr>
      </w:pPr>
    </w:p>
    <w:p w:rsidR="00EE2B32" w:rsidRDefault="00EE2B32"/>
    <w:sectPr w:rsidR="00EE2B32" w:rsidSect="00497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2"/>
    <w:rsid w:val="004975F2"/>
    <w:rsid w:val="00560ABD"/>
    <w:rsid w:val="00736EB3"/>
    <w:rsid w:val="00880DD1"/>
    <w:rsid w:val="00E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0AECE-7234-4B60-AE97-582E1EE0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632911392405111E-2"/>
          <c:y val="9.6916299559471439E-2"/>
          <c:w val="0.61449942462600748"/>
          <c:h val="0.72687224669603578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развития ученического самоуправления</c:v>
                </c:pt>
              </c:strCache>
            </c:strRef>
          </c:tx>
          <c:spPr>
            <a:ln w="38099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69.2</c:v>
                </c:pt>
                <c:pt idx="1">
                  <c:v>71.599999999999994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взаимоотношения в классном коллективе</c:v>
                </c:pt>
              </c:strCache>
            </c:strRef>
          </c:tx>
          <c:spPr>
            <a:ln w="38099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72.900000000000006</c:v>
                </c:pt>
                <c:pt idx="1">
                  <c:v>76.8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мотивированность классного коллектива</c:v>
                </c:pt>
              </c:strCache>
            </c:strRef>
          </c:tx>
          <c:spPr>
            <a:ln w="3809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78.599999999999994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степень удовлетворенностью классного коллектива</c:v>
                </c:pt>
              </c:strCache>
            </c:strRef>
          </c:tx>
          <c:spPr>
            <a:ln w="38099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62.9</c:v>
                </c:pt>
                <c:pt idx="1">
                  <c:v>74.7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9570848"/>
        <c:axId val="269571240"/>
      </c:lineChart>
      <c:catAx>
        <c:axId val="26957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571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95712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957084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663981588032285"/>
          <c:y val="0.11453744493392073"/>
          <c:w val="0.31645569620253189"/>
          <c:h val="0.7621145374449344"/>
        </c:manualLayout>
      </c:layout>
      <c:overlay val="0"/>
      <c:spPr>
        <a:solidFill>
          <a:srgbClr val="FFFFFF"/>
        </a:solidFill>
        <a:ln w="38099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315994798439577E-2"/>
          <c:y val="0.11682242990654212"/>
          <c:w val="0.61638491547464269"/>
          <c:h val="0.6588785046728981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дела в классе</c:v>
                </c:pt>
              </c:strCache>
            </c:strRef>
          </c:tx>
          <c:spPr>
            <a:ln w="3810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3.6</c:v>
                </c:pt>
                <c:pt idx="1">
                  <c:v>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дела в школе</c:v>
                </c:pt>
              </c:strCache>
            </c:strRef>
          </c:tx>
          <c:spPr>
            <a:ln w="3810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3.4</c:v>
                </c:pt>
                <c:pt idx="1">
                  <c:v>3.1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ученик-ученик</c:v>
                </c:pt>
              </c:strCache>
            </c:strRef>
          </c:tx>
          <c:spPr>
            <a:ln w="3810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3.9</c:v>
                </c:pt>
                <c:pt idx="1">
                  <c:v>3.9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ученик-классный руководитель</c:v>
                </c:pt>
              </c:strCache>
            </c:strRef>
          </c:tx>
          <c:spPr>
            <a:ln w="3810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  <c:pt idx="1">
                  <c:v>4.5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класс-дружный коллектив</c:v>
                </c:pt>
              </c:strCache>
            </c:strRef>
          </c:tx>
          <c:spPr>
            <a:ln w="38101">
              <a:solidFill>
                <a:srgbClr val="80008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3.1</c:v>
                </c:pt>
                <c:pt idx="1">
                  <c:v>3.4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ученик-учитель</c:v>
                </c:pt>
              </c:strCache>
            </c:strRef>
          </c:tx>
          <c:spPr>
            <a:ln w="38101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3.5</c:v>
                </c:pt>
                <c:pt idx="1">
                  <c:v>3.7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отношений к школе</c:v>
                </c:pt>
              </c:strCache>
            </c:strRef>
          </c:tx>
          <c:spPr>
            <a:ln w="38101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2"/>
                <c:pt idx="0">
                  <c:v>2011-2012</c:v>
                </c:pt>
                <c:pt idx="1">
                  <c:v>2013-2013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3.7</c:v>
                </c:pt>
                <c:pt idx="1">
                  <c:v>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9573200"/>
        <c:axId val="198377800"/>
      </c:lineChart>
      <c:catAx>
        <c:axId val="26957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377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8377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95732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/>
      <c:overlay val="0"/>
      <c:spPr>
        <a:noFill/>
        <a:ln w="38101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5E00C-CF83-409E-804A-AC149133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Yxapb</cp:lastModifiedBy>
  <cp:revision>2</cp:revision>
  <dcterms:created xsi:type="dcterms:W3CDTF">2014-02-17T04:39:00Z</dcterms:created>
  <dcterms:modified xsi:type="dcterms:W3CDTF">2014-02-17T04:39:00Z</dcterms:modified>
</cp:coreProperties>
</file>