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BF" w:rsidRPr="007F68B2" w:rsidRDefault="007D0ABF" w:rsidP="007D0A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68B2">
        <w:rPr>
          <w:rFonts w:ascii="Times New Roman" w:hAnsi="Times New Roman"/>
          <w:b/>
          <w:bCs/>
          <w:sz w:val="24"/>
          <w:szCs w:val="24"/>
        </w:rPr>
        <w:t>Использование при</w:t>
      </w:r>
      <w:proofErr w:type="gramStart"/>
      <w:r w:rsidRPr="007F68B2">
        <w:rPr>
          <w:rFonts w:ascii="Times New Roman" w:hAnsi="Times New Roman"/>
          <w:b/>
          <w:bCs/>
          <w:sz w:val="24"/>
          <w:szCs w:val="24"/>
        </w:rPr>
        <w:t>тч в пр</w:t>
      </w:r>
      <w:proofErr w:type="gramEnd"/>
      <w:r w:rsidRPr="007F68B2">
        <w:rPr>
          <w:rFonts w:ascii="Times New Roman" w:hAnsi="Times New Roman"/>
          <w:b/>
          <w:bCs/>
          <w:sz w:val="24"/>
          <w:szCs w:val="24"/>
        </w:rPr>
        <w:t xml:space="preserve">оцессе преподавания курса ОРКСЭ </w:t>
      </w:r>
    </w:p>
    <w:p w:rsidR="007D0ABF" w:rsidRDefault="007D0ABF" w:rsidP="007D0A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В силу своей специфики притчи могут стать важным опорным материалом в ходе препод</w:t>
      </w:r>
      <w:r>
        <w:rPr>
          <w:rFonts w:ascii="Times New Roman" w:hAnsi="Times New Roman"/>
          <w:bCs/>
          <w:sz w:val="24"/>
          <w:szCs w:val="24"/>
        </w:rPr>
        <w:t xml:space="preserve">авания курса ОРКСЭ в 4-5 классе </w:t>
      </w:r>
      <w:r w:rsidRPr="007F68B2">
        <w:rPr>
          <w:rFonts w:ascii="Times New Roman" w:hAnsi="Times New Roman"/>
          <w:bCs/>
          <w:sz w:val="24"/>
          <w:szCs w:val="24"/>
        </w:rPr>
        <w:t xml:space="preserve">материалом </w:t>
      </w:r>
    </w:p>
    <w:p w:rsidR="007D0ABF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80785">
        <w:rPr>
          <w:rFonts w:ascii="Times New Roman" w:hAnsi="Times New Roman"/>
          <w:b/>
          <w:bCs/>
          <w:sz w:val="24"/>
          <w:szCs w:val="24"/>
        </w:rPr>
        <w:t xml:space="preserve">Притча - </w:t>
      </w:r>
      <w:r w:rsidRPr="00280785">
        <w:rPr>
          <w:rFonts w:ascii="Times New Roman" w:hAnsi="Times New Roman"/>
          <w:sz w:val="24"/>
          <w:szCs w:val="24"/>
        </w:rPr>
        <w:t xml:space="preserve">дидактико-аллегорический литературный жанр, заключающий в себе моральное или религиозное поучение (глубинную премудрость). Греческое слово </w:t>
      </w:r>
      <w:proofErr w:type="spellStart"/>
      <w:r w:rsidRPr="00280785">
        <w:rPr>
          <w:rFonts w:ascii="Times New Roman" w:hAnsi="Times New Roman"/>
          <w:i/>
          <w:iCs/>
          <w:sz w:val="24"/>
          <w:szCs w:val="24"/>
        </w:rPr>
        <w:t>paraboly</w:t>
      </w:r>
      <w:proofErr w:type="spellEnd"/>
      <w:r w:rsidRPr="002807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0785">
        <w:rPr>
          <w:rFonts w:ascii="Times New Roman" w:hAnsi="Times New Roman"/>
          <w:sz w:val="24"/>
          <w:szCs w:val="24"/>
        </w:rPr>
        <w:t xml:space="preserve">означает соположение разных вещей друг с другом с целью их сравнения. Это был технический термин для обозначения фигуры речи в древнем ораторском искусстве. </w:t>
      </w:r>
    </w:p>
    <w:p w:rsidR="007D0ABF" w:rsidRPr="007F68B2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F68B2">
        <w:rPr>
          <w:rFonts w:ascii="Times New Roman" w:hAnsi="Times New Roman"/>
          <w:b/>
          <w:bCs/>
          <w:i/>
          <w:sz w:val="24"/>
          <w:szCs w:val="24"/>
        </w:rPr>
        <w:t>Функции притч</w:t>
      </w:r>
    </w:p>
    <w:p w:rsidR="007D0ABF" w:rsidRPr="007F68B2" w:rsidRDefault="007D0ABF" w:rsidP="007D0A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1. Функция зеркала.</w:t>
      </w:r>
    </w:p>
    <w:p w:rsidR="007D0ABF" w:rsidRPr="007F68B2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Человек может сравнить свои мысли, переживания с тем, о чем рассказывается в истории, и воспринять то, что в данное время соответствует его собственному психическому образу.</w:t>
      </w:r>
    </w:p>
    <w:p w:rsidR="007D0ABF" w:rsidRPr="007F68B2" w:rsidRDefault="007D0ABF" w:rsidP="007D0A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2. Функция модели.</w:t>
      </w:r>
    </w:p>
    <w:p w:rsidR="007D0ABF" w:rsidRPr="007F68B2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Отображение конфликтных ситуаций с предложением возможных способов их разрешения, указание на последствия тех или иных вариантов решения конфликтов.</w:t>
      </w:r>
    </w:p>
    <w:p w:rsidR="007D0ABF" w:rsidRPr="007F68B2" w:rsidRDefault="007D0ABF" w:rsidP="007D0A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 xml:space="preserve">3. Функция </w:t>
      </w:r>
      <w:proofErr w:type="spellStart"/>
      <w:r w:rsidRPr="007F68B2">
        <w:rPr>
          <w:rFonts w:ascii="Times New Roman" w:hAnsi="Times New Roman"/>
          <w:bCs/>
          <w:sz w:val="24"/>
          <w:szCs w:val="24"/>
        </w:rPr>
        <w:t>опосредования</w:t>
      </w:r>
      <w:proofErr w:type="spellEnd"/>
      <w:r w:rsidRPr="007F68B2">
        <w:rPr>
          <w:rFonts w:ascii="Times New Roman" w:hAnsi="Times New Roman"/>
          <w:bCs/>
          <w:sz w:val="24"/>
          <w:szCs w:val="24"/>
        </w:rPr>
        <w:t>.</w:t>
      </w:r>
    </w:p>
    <w:p w:rsidR="007D0ABF" w:rsidRPr="007F68B2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Между двумя людьми (учеником – учителем, взрослым – молодым) при существующем внутреннем противостоянии появляется посредник в виде истории. Благодаря ситуативной модели какой-либо истории можно в щадящей форме сказать другому человеку то, что могло бы быть агрессивно воспринято при прямом указании.</w:t>
      </w:r>
    </w:p>
    <w:p w:rsidR="007D0ABF" w:rsidRPr="007F68B2" w:rsidRDefault="007D0ABF" w:rsidP="007D0A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4. Функция хранения опыта.</w:t>
      </w:r>
    </w:p>
    <w:p w:rsidR="007D0ABF" w:rsidRPr="007F68B2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7F68B2">
        <w:rPr>
          <w:rFonts w:ascii="Times New Roman" w:hAnsi="Times New Roman"/>
          <w:bCs/>
          <w:sz w:val="24"/>
          <w:szCs w:val="24"/>
        </w:rPr>
        <w:t>Истории являются носителями традиций, они становятся посредниками в межкультурных отношениях, через них облегчается процесс возвращения человека на более ранние этапы индивидуального развития, они несут альтернативные концепции.</w:t>
      </w:r>
    </w:p>
    <w:p w:rsidR="007D0ABF" w:rsidRPr="00280785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80785">
        <w:rPr>
          <w:rFonts w:ascii="Times New Roman" w:hAnsi="Times New Roman"/>
          <w:sz w:val="24"/>
          <w:szCs w:val="24"/>
        </w:rPr>
        <w:t xml:space="preserve">Поскольку основными стилистическими приемами в притче являются сравнение, метафора, аллегория – именно этот жанр представляет собой наибольшую сложность при анализе младшими школьниками. Несмотря на то, что школьники часто интуитивно улавливают аллегорический и метафорический характер притч, тем не менее, им бывает трудно раскрыть их смысл и значение. </w:t>
      </w:r>
      <w:proofErr w:type="gramStart"/>
      <w:r w:rsidRPr="00280785">
        <w:rPr>
          <w:rFonts w:ascii="Times New Roman" w:hAnsi="Times New Roman"/>
          <w:sz w:val="24"/>
          <w:szCs w:val="24"/>
        </w:rPr>
        <w:t>Кроме того, все сакральные тексты используют аллегорию и метафору, поэтому, когда, например, в рамках модуля «Основы мировых религиозных культур» или «Основы иудейской культуры» учитель рассказывает о переходе иудеев по дну Красного моря, учащиеся нередко начинают спорить: что это – обычная легенда или образное описание необычайно сильного отлива, позволившего древним иудеям пройти по дну, тогда как гнавшихся за ними египтян уже захлестнуло</w:t>
      </w:r>
      <w:proofErr w:type="gramEnd"/>
      <w:r w:rsidRPr="00280785">
        <w:rPr>
          <w:rFonts w:ascii="Times New Roman" w:hAnsi="Times New Roman"/>
          <w:sz w:val="24"/>
          <w:szCs w:val="24"/>
        </w:rPr>
        <w:t xml:space="preserve"> наступающей волной. При этом главное символическое значение исхода из Египта как избавление от рабства (не только физического, но и духовного) остается на втором плане. </w:t>
      </w:r>
    </w:p>
    <w:p w:rsidR="007D0ABF" w:rsidRPr="006A11BF" w:rsidRDefault="007D0ABF" w:rsidP="007D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785">
        <w:rPr>
          <w:rFonts w:ascii="Times New Roman" w:hAnsi="Times New Roman"/>
          <w:sz w:val="24"/>
          <w:szCs w:val="24"/>
        </w:rPr>
        <w:t>Еще одним существенным моментом при работе с притчами является воссоздание культурного и исторического контекста, в котором созданы эти притчи. В качестве примера, рассмотрим известную христианскую притчу о мытаре и фарисее.</w:t>
      </w:r>
    </w:p>
    <w:p w:rsidR="007D0ABF" w:rsidRPr="00280785" w:rsidRDefault="007D0ABF" w:rsidP="007D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280785">
        <w:rPr>
          <w:rFonts w:ascii="Times New Roman" w:hAnsi="Times New Roman"/>
          <w:i/>
          <w:color w:val="000000"/>
          <w:sz w:val="24"/>
          <w:szCs w:val="24"/>
        </w:rPr>
        <w:t xml:space="preserve">«Сказал же и некоторым, уверенным в собственной праведности и уничижавшим остальных, такую притчу. Два человека вошли в храм помолиться: один – фарисей, а другой – мытарь. Фарисей, став, молился про себя так: «Боже, благодарю Тебя, что я не как прочие люди: грабители, обманщики, </w:t>
      </w:r>
      <w:proofErr w:type="gramStart"/>
      <w:r w:rsidRPr="00280785">
        <w:rPr>
          <w:rFonts w:ascii="Times New Roman" w:hAnsi="Times New Roman"/>
          <w:i/>
          <w:color w:val="000000"/>
          <w:sz w:val="24"/>
          <w:szCs w:val="24"/>
        </w:rPr>
        <w:t>прелюбодеи</w:t>
      </w:r>
      <w:proofErr w:type="gramEnd"/>
      <w:r w:rsidRPr="00280785">
        <w:rPr>
          <w:rFonts w:ascii="Times New Roman" w:hAnsi="Times New Roman"/>
          <w:i/>
          <w:color w:val="000000"/>
          <w:sz w:val="24"/>
          <w:szCs w:val="24"/>
        </w:rPr>
        <w:t xml:space="preserve">, или даже как этот мытарь. Пощусь два раза в неделю, даю десятину от всего, что приобретаю». Мытарь же, стоя вдали, не смел даже глаз </w:t>
      </w:r>
      <w:proofErr w:type="gramStart"/>
      <w:r w:rsidRPr="00280785">
        <w:rPr>
          <w:rFonts w:ascii="Times New Roman" w:hAnsi="Times New Roman"/>
          <w:i/>
          <w:color w:val="000000"/>
          <w:sz w:val="24"/>
          <w:szCs w:val="24"/>
        </w:rPr>
        <w:t>поднять</w:t>
      </w:r>
      <w:proofErr w:type="gramEnd"/>
      <w:r w:rsidRPr="00280785">
        <w:rPr>
          <w:rFonts w:ascii="Times New Roman" w:hAnsi="Times New Roman"/>
          <w:i/>
          <w:color w:val="000000"/>
          <w:sz w:val="24"/>
          <w:szCs w:val="24"/>
        </w:rPr>
        <w:t xml:space="preserve"> на небо, но бил себя в грудь и говорил: «Боже, будь милостив ко мне, грешнику». Говорю вам: этот пришел в дом свой оправданным, а не тот. Ибо всякий, возносящий себя, смирён будет, а смиряющий себя вознесён будет» </w:t>
      </w:r>
      <w:r w:rsidRPr="00280785">
        <w:rPr>
          <w:rFonts w:ascii="Times New Roman" w:hAnsi="Times New Roman"/>
          <w:color w:val="000000"/>
          <w:sz w:val="24"/>
          <w:szCs w:val="24"/>
        </w:rPr>
        <w:t>(Лк. 18,10-14)9.</w:t>
      </w:r>
    </w:p>
    <w:p w:rsidR="007D0ABF" w:rsidRPr="00280785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80785">
        <w:rPr>
          <w:rFonts w:ascii="Times New Roman" w:hAnsi="Times New Roman"/>
          <w:color w:val="000000"/>
          <w:sz w:val="24"/>
          <w:szCs w:val="24"/>
        </w:rPr>
        <w:t>Глубинный смысл этой притчи останется закрытым для детей, если учитель не объяснит им характер исторической и культурной антиномии «мытарь</w:t>
      </w:r>
      <w:r w:rsidRPr="006A11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0785">
        <w:rPr>
          <w:rFonts w:ascii="Times New Roman" w:hAnsi="Times New Roman"/>
          <w:color w:val="000000"/>
          <w:sz w:val="24"/>
          <w:szCs w:val="24"/>
        </w:rPr>
        <w:t xml:space="preserve">– фарисей». На территории древней Палестины и среди иудейского народа именно фарисеи были одной из наиболее могущественных религиозных групп и выделялись своим благочестивым поведением, стремлением соблюдать силу еврейского религиозного Закона, тогда как мытари были сборщиками налогов в провинциях Римской империи и крайне непопулярными членами общества. Однако именно искренне кающийся мытарь, изображенный в этой притче, получает оправдание. С другой стороны, если вы внимательно вчитаетесь в текст молитвы фарисея, то во второй части вы не найдете ничего предосудительного: он искренне перечисляет свои добродетели, которых достиг. Именно первая часть, где фарисей сравнивает себя с другими и, более того, с мытарем, стоящим поодаль, которого ставит самым последним в ряду «грабителей, обманщиков и </w:t>
      </w:r>
      <w:proofErr w:type="gramStart"/>
      <w:r w:rsidRPr="00280785">
        <w:rPr>
          <w:rFonts w:ascii="Times New Roman" w:hAnsi="Times New Roman"/>
          <w:color w:val="000000"/>
          <w:sz w:val="24"/>
          <w:szCs w:val="24"/>
        </w:rPr>
        <w:t>прелюбодеев</w:t>
      </w:r>
      <w:proofErr w:type="gramEnd"/>
      <w:r w:rsidRPr="00280785">
        <w:rPr>
          <w:rFonts w:ascii="Times New Roman" w:hAnsi="Times New Roman"/>
          <w:color w:val="000000"/>
          <w:sz w:val="24"/>
          <w:szCs w:val="24"/>
        </w:rPr>
        <w:t xml:space="preserve">» – это делает его молитву недостойной. </w:t>
      </w:r>
    </w:p>
    <w:p w:rsidR="007D0ABF" w:rsidRPr="006A11BF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80785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Понять многообразие смыслов этой притчи помогает знаменитая гравюра Г. </w:t>
      </w:r>
      <w:proofErr w:type="spellStart"/>
      <w:r w:rsidRPr="00280785">
        <w:rPr>
          <w:rFonts w:ascii="Times New Roman" w:hAnsi="Times New Roman"/>
          <w:color w:val="000000"/>
          <w:sz w:val="24"/>
          <w:szCs w:val="24"/>
        </w:rPr>
        <w:t>Доре</w:t>
      </w:r>
      <w:proofErr w:type="spellEnd"/>
      <w:r w:rsidRPr="0028078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0ABF" w:rsidRPr="006A11BF" w:rsidRDefault="007D0ABF" w:rsidP="007D0AB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43125" cy="1771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BF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280785">
        <w:rPr>
          <w:rFonts w:ascii="Times New Roman" w:hAnsi="Times New Roman"/>
          <w:color w:val="000000"/>
          <w:sz w:val="24"/>
          <w:szCs w:val="24"/>
        </w:rPr>
        <w:t xml:space="preserve">Работа с иллюстрацией позволяет начать дискуссию еще до непосредственной работы с притчей. Учитель может предложить ученикам описать иллюстрацию, обратить внимание на средства художественной выразительности, использованные автором гравюры, предположить, о чем будет идти речь в притче и охарактеризовать двух ее героев, и, возможно, попытаться спроектировать повествование. После прочтения притчи можно вместе с учениками смоделировать ситуацию, описанную в рассказе. 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color w:val="000000"/>
          <w:sz w:val="24"/>
          <w:szCs w:val="24"/>
        </w:rPr>
        <w:t>Способы использования притч в учебном процессе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1. Обсуждение основной идеи и смысла истории.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2. Название притчи.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3. Притча без окончания – обсуждение, чем она могла бы закончиться.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4. Иллюстрировать рассказ (предложить рисунки, картинки, фотографии, изображения).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5. Сформулировать вопросы или ответить на поставленные вопросы.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6. Выделить ключевые понятия.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7. Инсценировка по рассказу (истории)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8. Загадка, на которую нужно дать ответ (отгадать)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9. Найти или предположить (вставить) пропущенные слова.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10. Сделать разбор текстового документа (в том числе анализ символов, структуры, понятийного аппарата, исторического контекста).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11. Рассмотреть притчу с ролевой позиции (представителя определенной исторической эпохи, культуры, религиозной </w:t>
      </w:r>
      <w:proofErr w:type="spellStart"/>
      <w:r w:rsidRPr="009C17D4">
        <w:rPr>
          <w:rFonts w:ascii="Times New Roman" w:hAnsi="Times New Roman"/>
          <w:bCs/>
          <w:color w:val="000000"/>
          <w:sz w:val="24"/>
          <w:szCs w:val="24"/>
        </w:rPr>
        <w:t>конфессии</w:t>
      </w:r>
      <w:proofErr w:type="spellEnd"/>
      <w:r w:rsidRPr="009C17D4">
        <w:rPr>
          <w:rFonts w:ascii="Times New Roman" w:hAnsi="Times New Roman"/>
          <w:bCs/>
          <w:color w:val="000000"/>
          <w:sz w:val="24"/>
          <w:szCs w:val="24"/>
        </w:rPr>
        <w:t>, профессии, социальной роли т.п.)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12. Сравнение нескольких притч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i/>
          <w:color w:val="000000"/>
          <w:sz w:val="24"/>
          <w:szCs w:val="24"/>
        </w:rPr>
        <w:t>Примеры организации работы с притчами: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color w:val="000000"/>
          <w:sz w:val="24"/>
          <w:szCs w:val="24"/>
        </w:rPr>
        <w:t>Путники и медведица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ab/>
        <w:t xml:space="preserve">Два приятеля шли по дороге, как вдруг навстречу им медведь. Один тотчас забрался на дерево и там спрятался. А </w:t>
      </w:r>
      <w:proofErr w:type="gramStart"/>
      <w:r w:rsidRPr="009C17D4">
        <w:rPr>
          <w:rFonts w:ascii="Times New Roman" w:hAnsi="Times New Roman"/>
          <w:bCs/>
          <w:color w:val="000000"/>
          <w:sz w:val="24"/>
          <w:szCs w:val="24"/>
        </w:rPr>
        <w:t>другому</w:t>
      </w:r>
      <w:proofErr w:type="gramEnd"/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 бежать уж было поздно, и он бросился наземь и притворился мертвым. И когда медведица  придвинулась к нему </w:t>
      </w:r>
      <w:proofErr w:type="gramStart"/>
      <w:r w:rsidRPr="009C17D4">
        <w:rPr>
          <w:rFonts w:ascii="Times New Roman" w:hAnsi="Times New Roman"/>
          <w:bCs/>
          <w:color w:val="000000"/>
          <w:sz w:val="24"/>
          <w:szCs w:val="24"/>
        </w:rPr>
        <w:t>мордой</w:t>
      </w:r>
      <w:proofErr w:type="gramEnd"/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 и стала его обнюхивать, то задержал дыхание, потому что говорят: мертвецов зверь не трогает.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Ушла медведица прочь, опустился приятель с дерева и спрашивает, что это ему медведица шептала на ухо. А тот в ответ: «Шептала: впредь не бери в дорогу таких приятелей, которые бросают в беде!»</w:t>
      </w:r>
    </w:p>
    <w:p w:rsidR="007D0ABF" w:rsidRPr="009C17D4" w:rsidRDefault="007D0ABF" w:rsidP="007D0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Как вы думаете, что сказал один приятель другому? </w:t>
      </w:r>
    </w:p>
    <w:p w:rsidR="007D0ABF" w:rsidRPr="009C17D4" w:rsidRDefault="007D0ABF" w:rsidP="007D0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Подберите к этой притче подходящие по смыслу пословицы.</w:t>
      </w:r>
    </w:p>
    <w:p w:rsidR="007D0ABF" w:rsidRPr="009C17D4" w:rsidRDefault="007D0ABF" w:rsidP="007D0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В каком случае вы могли бы рассказать эту притчу?</w:t>
      </w:r>
    </w:p>
    <w:p w:rsidR="007D0ABF" w:rsidRPr="009C17D4" w:rsidRDefault="007D0ABF" w:rsidP="007D0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Включите в свой рассказ притчу «Путники и медведица».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color w:val="000000"/>
          <w:sz w:val="24"/>
          <w:szCs w:val="24"/>
        </w:rPr>
        <w:t>Щедрый подарок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ab/>
        <w:t xml:space="preserve">Приехал отец из города. Привёз сыну медовик и говорит ему: «Вася, поделись вкусным медовиком с Петей. Поделись щедро». — А как это - щедро? — спрашивает сын. Отец отвечает: «Переломи медовик и большую часть отдай Пете. А </w:t>
      </w:r>
      <w:proofErr w:type="gramStart"/>
      <w:r w:rsidRPr="009C17D4">
        <w:rPr>
          <w:rFonts w:ascii="Times New Roman" w:hAnsi="Times New Roman"/>
          <w:bCs/>
          <w:color w:val="000000"/>
          <w:sz w:val="24"/>
          <w:szCs w:val="24"/>
        </w:rPr>
        <w:t>меньшую</w:t>
      </w:r>
      <w:proofErr w:type="gramEnd"/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 оставь себе». — Лучше я отдам медовик Пете,— сказал Вася. — Пусть он делит его щедро. </w:t>
      </w:r>
    </w:p>
    <w:p w:rsidR="007D0ABF" w:rsidRPr="009C17D4" w:rsidRDefault="007D0ABF" w:rsidP="007D0A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Какой  вопрос можно задать после прочтения этого текста? (Если ученики не сумели самостоятельно сформулировать вопрос, то это делает учитель)</w:t>
      </w:r>
    </w:p>
    <w:p w:rsidR="007D0ABF" w:rsidRPr="009C17D4" w:rsidRDefault="007D0ABF" w:rsidP="007D0A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Почему   Вася   захотел   отдать   медовик   Пете?</w:t>
      </w:r>
    </w:p>
    <w:p w:rsidR="007D0ABF" w:rsidRPr="009C17D4" w:rsidRDefault="007D0ABF" w:rsidP="007D0A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О чём это свидетельствует?</w:t>
      </w:r>
    </w:p>
    <w:p w:rsidR="007D0ABF" w:rsidRPr="009C17D4" w:rsidRDefault="007D0ABF" w:rsidP="007D0AB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Что не понял из совета отца Василий?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color w:val="000000"/>
          <w:sz w:val="24"/>
          <w:szCs w:val="24"/>
        </w:rPr>
        <w:t>Башня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глубокой древности люди решили построить высокую башню, чтобы добраться самого до неба. Строилась эта башня много лет. И постепенно вокруг нее строился и разрастался город Вавилон. Когда башня была уже почти совсем готова, Богу не понравилось, что люди хотели вблизи от небес познать их тайны. И послал он на землю великую бурю. </w:t>
      </w:r>
    </w:p>
    <w:p w:rsidR="007D0ABF" w:rsidRPr="009C17D4" w:rsidRDefault="007D0ABF" w:rsidP="007D0A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Предположите, чем заканчивается история. 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C17D4">
        <w:rPr>
          <w:rFonts w:ascii="Times New Roman" w:hAnsi="Times New Roman"/>
          <w:bCs/>
          <w:i/>
          <w:color w:val="000000"/>
          <w:sz w:val="24"/>
          <w:szCs w:val="24"/>
        </w:rPr>
        <w:t xml:space="preserve">Когда она затихла, люди обнаружили вдруг, что говорят на разных языках и не понимают друг друга. Все побросали работу и разбрелись в разные концы земли. А башня стала постепенно разрушаться. 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color w:val="000000"/>
          <w:sz w:val="24"/>
          <w:szCs w:val="24"/>
        </w:rPr>
        <w:t>Раввин и мыловар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Шли однажды вместе раввин и мыловар.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-Что толку в еврейской религии? – спросил мыловар. – Посмотри, сколько бед и страданий в мире! Не помогают ни тысячи лет познания добра, правды и справедливости, ни изучение Торы, ни мудрость праведников, ни высокие идеалы пророков. Если наша вера на самом деле истинна, почему так плохо?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Ничего не ответил раввин. Пошли они дальше, видят: ребенок в сточной канаве играет, весь грязный, перепачканный. И сказал раввин: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- Посмотри на этого ребенка. Ты говоришь, мыло отмывает людей от грязи, а он – весь в грязи. Что толку в мыле? Его в мире хоть отбавляй, а ребенок остается грязным. Вот я и спрашиваю, так ли уж помогает мыло?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 xml:space="preserve">-Но </w:t>
      </w:r>
      <w:proofErr w:type="spellStart"/>
      <w:r w:rsidRPr="009C17D4">
        <w:rPr>
          <w:rFonts w:ascii="Times New Roman" w:hAnsi="Times New Roman"/>
          <w:bCs/>
          <w:color w:val="000000"/>
          <w:sz w:val="24"/>
          <w:szCs w:val="24"/>
        </w:rPr>
        <w:t>рабби</w:t>
      </w:r>
      <w:proofErr w:type="spellEnd"/>
      <w:r w:rsidRPr="009C17D4">
        <w:rPr>
          <w:rFonts w:ascii="Times New Roman" w:hAnsi="Times New Roman"/>
          <w:bCs/>
          <w:color w:val="000000"/>
          <w:sz w:val="24"/>
          <w:szCs w:val="24"/>
        </w:rPr>
        <w:t>, - возразил мыловар, - мыло не может помочь, если им не пользоваться.</w:t>
      </w:r>
    </w:p>
    <w:p w:rsidR="007D0ABF" w:rsidRPr="009C17D4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7D4">
        <w:rPr>
          <w:rFonts w:ascii="Times New Roman" w:hAnsi="Times New Roman"/>
          <w:bCs/>
          <w:color w:val="000000"/>
          <w:sz w:val="24"/>
          <w:szCs w:val="24"/>
        </w:rPr>
        <w:t>-Верно! – оживился раввин. – Так же и с нашей религией. Она не помогает, если не исповедовать её изо дня в день всю жизнь!</w:t>
      </w:r>
    </w:p>
    <w:p w:rsidR="007D0ABF" w:rsidRPr="009C17D4" w:rsidRDefault="007D0ABF" w:rsidP="007D0A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17D4">
        <w:rPr>
          <w:rFonts w:ascii="Times New Roman" w:hAnsi="Times New Roman"/>
          <w:b/>
          <w:bCs/>
          <w:i/>
          <w:color w:val="000000"/>
          <w:sz w:val="24"/>
          <w:szCs w:val="24"/>
        </w:rPr>
        <w:t>Сформулируйте основную мысль притчу.</w:t>
      </w:r>
    </w:p>
    <w:p w:rsidR="007D0ABF" w:rsidRPr="006A11BF" w:rsidRDefault="007D0ABF" w:rsidP="007D0AB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ABF" w:rsidRPr="007F68B2" w:rsidRDefault="007D0ABF" w:rsidP="007D0A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D0ABF" w:rsidRPr="00133FFF" w:rsidRDefault="007D0ABF" w:rsidP="007D0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7F6" w:rsidRDefault="005867F6"/>
    <w:sectPr w:rsidR="005867F6" w:rsidSect="00B750E8">
      <w:footerReference w:type="even" r:id="rId6"/>
      <w:footerReference w:type="default" r:id="rId7"/>
      <w:pgSz w:w="11906" w:h="16838"/>
      <w:pgMar w:top="284" w:right="42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E8" w:rsidRDefault="007D0ABF" w:rsidP="00E82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0E8" w:rsidRDefault="007D0ABF" w:rsidP="00B750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E8" w:rsidRDefault="007D0ABF" w:rsidP="00E82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750E8" w:rsidRDefault="007D0ABF" w:rsidP="00B750E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BC"/>
    <w:multiLevelType w:val="hybridMultilevel"/>
    <w:tmpl w:val="26BC716E"/>
    <w:lvl w:ilvl="0" w:tplc="17A805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001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A4F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48C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2BF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6E87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C0BB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C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CC6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14516"/>
    <w:multiLevelType w:val="hybridMultilevel"/>
    <w:tmpl w:val="5E00AD1A"/>
    <w:lvl w:ilvl="0" w:tplc="5EFEA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2D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67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2C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EB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C9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7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A01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6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476C8"/>
    <w:multiLevelType w:val="hybridMultilevel"/>
    <w:tmpl w:val="5498D602"/>
    <w:lvl w:ilvl="0" w:tplc="8AC42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2B5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2D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EE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27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88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02D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E4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EE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702A3"/>
    <w:multiLevelType w:val="hybridMultilevel"/>
    <w:tmpl w:val="AB80E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C6589C"/>
    <w:multiLevelType w:val="hybridMultilevel"/>
    <w:tmpl w:val="22348A60"/>
    <w:lvl w:ilvl="0" w:tplc="2B129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2F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0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21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AD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C8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CA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24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45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BF"/>
    <w:rsid w:val="000D5CBD"/>
    <w:rsid w:val="005867F6"/>
    <w:rsid w:val="007D0ABF"/>
    <w:rsid w:val="00A3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0A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0AB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7D0ABF"/>
  </w:style>
  <w:style w:type="paragraph" w:styleId="a6">
    <w:name w:val="Balloon Text"/>
    <w:basedOn w:val="a"/>
    <w:link w:val="a7"/>
    <w:uiPriority w:val="99"/>
    <w:semiHidden/>
    <w:unhideWhenUsed/>
    <w:rsid w:val="007D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7276</Characters>
  <Application>Microsoft Office Word</Application>
  <DocSecurity>0</DocSecurity>
  <Lines>60</Lines>
  <Paragraphs>17</Paragraphs>
  <ScaleCrop>false</ScaleCrop>
  <Company>Krokoz™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2012-06-29T17:16:00Z</dcterms:created>
  <dcterms:modified xsi:type="dcterms:W3CDTF">2012-06-29T17:16:00Z</dcterms:modified>
</cp:coreProperties>
</file>