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C1" w:rsidRPr="00A12FC1" w:rsidRDefault="00A12FC1" w:rsidP="00A12FC1">
      <w:pPr>
        <w:shd w:val="clear" w:color="auto" w:fill="FFFFFF"/>
        <w:spacing w:before="338"/>
        <w:ind w:left="367"/>
        <w:rPr>
          <w:color w:val="4A442A" w:themeColor="background2" w:themeShade="40"/>
        </w:rPr>
      </w:pPr>
      <w:r w:rsidRPr="00A12FC1">
        <w:rPr>
          <w:rFonts w:ascii="Arial" w:hAnsi="Arial" w:cs="Arial"/>
          <w:b/>
          <w:bCs/>
          <w:color w:val="4A442A" w:themeColor="background2" w:themeShade="40"/>
          <w:sz w:val="24"/>
          <w:szCs w:val="24"/>
        </w:rPr>
        <w:t xml:space="preserve">11   </w:t>
      </w:r>
      <w:r w:rsidRPr="00A12FC1">
        <w:rPr>
          <w:rFonts w:ascii="Arial" w:eastAsia="Times New Roman" w:hAnsi="Arial"/>
          <w:b/>
          <w:bCs/>
          <w:color w:val="4A442A" w:themeColor="background2" w:themeShade="40"/>
          <w:sz w:val="24"/>
          <w:szCs w:val="24"/>
        </w:rPr>
        <w:t>КЛАСС</w:t>
      </w:r>
    </w:p>
    <w:p w:rsidR="00A12FC1" w:rsidRPr="00A12FC1" w:rsidRDefault="00A12FC1" w:rsidP="00A12FC1">
      <w:pPr>
        <w:shd w:val="clear" w:color="auto" w:fill="FFFFFF"/>
        <w:spacing w:before="144"/>
        <w:ind w:left="346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>СОДЕРЖАНИЕ  ОБУЧЕНИЯ</w:t>
      </w:r>
    </w:p>
    <w:p w:rsidR="00A12FC1" w:rsidRPr="00A12FC1" w:rsidRDefault="00A12FC1" w:rsidP="00A12FC1">
      <w:pPr>
        <w:shd w:val="clear" w:color="auto" w:fill="FFFFFF"/>
        <w:spacing w:before="101"/>
        <w:ind w:left="353"/>
        <w:rPr>
          <w:color w:val="4A442A" w:themeColor="background2" w:themeShade="40"/>
        </w:rPr>
      </w:pPr>
      <w:r w:rsidRPr="00A12FC1">
        <w:rPr>
          <w:color w:val="4A442A" w:themeColor="background2" w:themeShade="40"/>
          <w:sz w:val="22"/>
          <w:szCs w:val="22"/>
        </w:rPr>
        <w:t xml:space="preserve">1.  </w:t>
      </w:r>
      <w:proofErr w:type="gramStart"/>
      <w:r w:rsidRPr="00A12FC1">
        <w:rPr>
          <w:rFonts w:eastAsia="Times New Roman"/>
          <w:color w:val="4A442A" w:themeColor="background2" w:themeShade="40"/>
          <w:sz w:val="22"/>
          <w:szCs w:val="22"/>
        </w:rPr>
        <w:t>Первообразная</w:t>
      </w:r>
      <w:proofErr w:type="gramEnd"/>
      <w:r w:rsidRPr="00A12FC1">
        <w:rPr>
          <w:rFonts w:eastAsia="Times New Roman"/>
          <w:color w:val="4A442A" w:themeColor="background2" w:themeShade="40"/>
          <w:sz w:val="22"/>
          <w:szCs w:val="22"/>
        </w:rPr>
        <w:t xml:space="preserve"> и интеграл</w:t>
      </w:r>
    </w:p>
    <w:p w:rsidR="00A12FC1" w:rsidRPr="00A12FC1" w:rsidRDefault="00A12FC1" w:rsidP="00A12FC1">
      <w:pPr>
        <w:shd w:val="clear" w:color="auto" w:fill="FFFFFF"/>
        <w:spacing w:before="65" w:line="209" w:lineRule="exact"/>
        <w:ind w:right="65" w:firstLine="346"/>
        <w:jc w:val="both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>Первообразная. Первообразные степенной функции с це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лым показателем</w:t>
      </w:r>
      <w:proofErr w:type="gramStart"/>
      <w:r w:rsidRPr="00A12FC1">
        <w:rPr>
          <w:rFonts w:eastAsia="Times New Roman"/>
          <w:color w:val="4A442A" w:themeColor="background2" w:themeShade="40"/>
          <w:sz w:val="22"/>
          <w:szCs w:val="22"/>
        </w:rPr>
        <w:t xml:space="preserve"> ,</w:t>
      </w:r>
      <w:proofErr w:type="gramEnd"/>
      <w:r w:rsidRPr="00A12FC1">
        <w:rPr>
          <w:rFonts w:eastAsia="Times New Roman"/>
          <w:color w:val="4A442A" w:themeColor="background2" w:themeShade="40"/>
          <w:sz w:val="22"/>
          <w:szCs w:val="22"/>
        </w:rPr>
        <w:t xml:space="preserve"> синуса и косинуса. Простейшие правила нахождения </w:t>
      </w:r>
      <w:proofErr w:type="gramStart"/>
      <w:r w:rsidRPr="00A12FC1">
        <w:rPr>
          <w:rFonts w:eastAsia="Times New Roman"/>
          <w:color w:val="4A442A" w:themeColor="background2" w:themeShade="40"/>
          <w:sz w:val="22"/>
          <w:szCs w:val="22"/>
        </w:rPr>
        <w:t>первообразных</w:t>
      </w:r>
      <w:proofErr w:type="gramEnd"/>
      <w:r w:rsidRPr="00A12FC1">
        <w:rPr>
          <w:rFonts w:eastAsia="Times New Roman"/>
          <w:color w:val="4A442A" w:themeColor="background2" w:themeShade="40"/>
          <w:sz w:val="22"/>
          <w:szCs w:val="22"/>
        </w:rPr>
        <w:t>.</w:t>
      </w:r>
    </w:p>
    <w:p w:rsidR="00A12FC1" w:rsidRPr="00A12FC1" w:rsidRDefault="00A12FC1" w:rsidP="00A12FC1">
      <w:pPr>
        <w:shd w:val="clear" w:color="auto" w:fill="FFFFFF"/>
        <w:spacing w:before="50" w:line="209" w:lineRule="exact"/>
        <w:ind w:right="36" w:firstLine="346"/>
        <w:jc w:val="both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>Площадь криволинейной трапеции. Интеграл. Формула Ньютона — Лейбница. Применение интеграла к вычисле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нию площадей и объемов.</w:t>
      </w:r>
    </w:p>
    <w:p w:rsidR="00A12FC1" w:rsidRPr="00A12FC1" w:rsidRDefault="00A12FC1" w:rsidP="00A12FC1">
      <w:pPr>
        <w:shd w:val="clear" w:color="auto" w:fill="FFFFFF"/>
        <w:spacing w:line="209" w:lineRule="exact"/>
        <w:ind w:left="7" w:right="29" w:firstLine="338"/>
        <w:jc w:val="both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>Основная цель — ознакомить с интегрированием как операцией, обратной дифференцированию; показать применение интеграла к решению геометрических задач.</w:t>
      </w:r>
    </w:p>
    <w:p w:rsidR="00A12FC1" w:rsidRPr="00A12FC1" w:rsidRDefault="00A12FC1" w:rsidP="00A12FC1">
      <w:pPr>
        <w:shd w:val="clear" w:color="auto" w:fill="FFFFFF"/>
        <w:spacing w:line="209" w:lineRule="exact"/>
        <w:ind w:left="7" w:right="22" w:firstLine="346"/>
        <w:jc w:val="both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>Задача отработки навыков нахождения первообразных не ставится, упражнения сводятся к простому применению таблиц и правил нахождения первообразных.</w:t>
      </w:r>
    </w:p>
    <w:p w:rsidR="00A12FC1" w:rsidRPr="00A12FC1" w:rsidRDefault="00A12FC1" w:rsidP="00A12FC1">
      <w:pPr>
        <w:shd w:val="clear" w:color="auto" w:fill="FFFFFF"/>
        <w:spacing w:line="209" w:lineRule="exact"/>
        <w:ind w:left="14" w:right="22" w:firstLine="331"/>
        <w:jc w:val="both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>Интеграл вводится на основе рассмотрения задачи о пло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щади криволинейной трапеции и построения интегральных сумм. Формула Ньютона — Лейбница вводится на основе наглядных представлений.</w:t>
      </w:r>
    </w:p>
    <w:p w:rsidR="00A12FC1" w:rsidRPr="00A12FC1" w:rsidRDefault="00A12FC1" w:rsidP="00A12FC1">
      <w:pPr>
        <w:shd w:val="clear" w:color="auto" w:fill="FFFFFF"/>
        <w:spacing w:line="209" w:lineRule="exact"/>
        <w:ind w:left="7" w:right="22" w:firstLine="338"/>
        <w:jc w:val="both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>В качестве иллюстрации применения интеграла рассмат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риваются только задачи о вычислении площадей и объемов. Следует учесть, что формула объема шара выводится при изучении данной темы и используется затем в курсе гео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метрии.</w:t>
      </w:r>
    </w:p>
    <w:p w:rsidR="00A12FC1" w:rsidRPr="00A12FC1" w:rsidRDefault="00A12FC1" w:rsidP="00A12FC1">
      <w:pPr>
        <w:shd w:val="clear" w:color="auto" w:fill="FFFFFF"/>
        <w:spacing w:line="209" w:lineRule="exact"/>
        <w:ind w:left="14" w:right="22" w:firstLine="338"/>
        <w:jc w:val="both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>Материал, касающийся работы переменной силы и на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 xml:space="preserve">хождения </w:t>
      </w:r>
      <w:proofErr w:type="spellStart"/>
      <w:r w:rsidRPr="00A12FC1">
        <w:rPr>
          <w:rFonts w:eastAsia="Times New Roman"/>
          <w:color w:val="4A442A" w:themeColor="background2" w:themeShade="40"/>
          <w:sz w:val="22"/>
          <w:szCs w:val="22"/>
        </w:rPr>
        <w:t>центра</w:t>
      </w:r>
      <w:proofErr w:type="gramStart"/>
      <w:r w:rsidRPr="00A12FC1">
        <w:rPr>
          <w:rFonts w:eastAsia="Times New Roman"/>
          <w:color w:val="4A442A" w:themeColor="background2" w:themeShade="40"/>
          <w:sz w:val="22"/>
          <w:szCs w:val="22"/>
        </w:rPr>
        <w:t>.м</w:t>
      </w:r>
      <w:proofErr w:type="gramEnd"/>
      <w:r w:rsidRPr="00A12FC1">
        <w:rPr>
          <w:rFonts w:eastAsia="Times New Roman"/>
          <w:color w:val="4A442A" w:themeColor="background2" w:themeShade="40"/>
          <w:sz w:val="22"/>
          <w:szCs w:val="22"/>
        </w:rPr>
        <w:t>асс</w:t>
      </w:r>
      <w:proofErr w:type="spellEnd"/>
      <w:r w:rsidRPr="00A12FC1">
        <w:rPr>
          <w:rFonts w:eastAsia="Times New Roman"/>
          <w:color w:val="4A442A" w:themeColor="background2" w:themeShade="40"/>
          <w:sz w:val="22"/>
          <w:szCs w:val="22"/>
        </w:rPr>
        <w:t>, не является обязательным.</w:t>
      </w:r>
    </w:p>
    <w:p w:rsidR="00A12FC1" w:rsidRPr="00A12FC1" w:rsidRDefault="00A12FC1" w:rsidP="00A12FC1">
      <w:pPr>
        <w:shd w:val="clear" w:color="auto" w:fill="FFFFFF"/>
        <w:spacing w:line="209" w:lineRule="exact"/>
        <w:ind w:left="22" w:right="14" w:firstLine="331"/>
        <w:jc w:val="both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>При изучении темы целесообразно широко применять графические иллюстрации.</w:t>
      </w:r>
    </w:p>
    <w:p w:rsidR="00A12FC1" w:rsidRPr="00A12FC1" w:rsidRDefault="00A12FC1" w:rsidP="00A12FC1">
      <w:pPr>
        <w:shd w:val="clear" w:color="auto" w:fill="FFFFFF"/>
        <w:spacing w:before="166"/>
        <w:ind w:left="360"/>
        <w:rPr>
          <w:color w:val="4A442A" w:themeColor="background2" w:themeShade="40"/>
        </w:rPr>
      </w:pPr>
      <w:r w:rsidRPr="00A12FC1">
        <w:rPr>
          <w:color w:val="4A442A" w:themeColor="background2" w:themeShade="40"/>
          <w:sz w:val="22"/>
          <w:szCs w:val="22"/>
        </w:rPr>
        <w:t xml:space="preserve">2.  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t>Показательная и логарифмическая функции</w:t>
      </w:r>
    </w:p>
    <w:p w:rsidR="00A12FC1" w:rsidRPr="00A12FC1" w:rsidRDefault="00A12FC1" w:rsidP="00A12FC1">
      <w:pPr>
        <w:shd w:val="clear" w:color="auto" w:fill="FFFFFF"/>
        <w:spacing w:before="58" w:line="209" w:lineRule="exact"/>
        <w:ind w:left="22" w:right="14" w:firstLine="331"/>
        <w:jc w:val="both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>Понятие о степени с иррациональным показателем. Ре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шение иррациональных уравнений.</w:t>
      </w:r>
    </w:p>
    <w:p w:rsidR="00A12FC1" w:rsidRPr="00A12FC1" w:rsidRDefault="00A12FC1" w:rsidP="00A12FC1">
      <w:pPr>
        <w:shd w:val="clear" w:color="auto" w:fill="FFFFFF"/>
        <w:spacing w:line="209" w:lineRule="exact"/>
        <w:ind w:left="22" w:right="22" w:firstLine="331"/>
        <w:jc w:val="both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>Показательная функция, ее свойства и график. Тожде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ственные преобразования показательных уравнений, нера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венств и систем.</w:t>
      </w:r>
    </w:p>
    <w:p w:rsidR="00A12FC1" w:rsidRPr="00A12FC1" w:rsidRDefault="00A12FC1" w:rsidP="00A12FC1">
      <w:pPr>
        <w:shd w:val="clear" w:color="auto" w:fill="FFFFFF"/>
        <w:spacing w:line="209" w:lineRule="exact"/>
        <w:ind w:left="14" w:right="7" w:firstLine="346"/>
        <w:jc w:val="both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>Логарифм числа. Основные свойства логарифмов. Лога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рифмическая функция, ее свойства и график. Решение ло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гарифмических уравнений и неравенств.</w:t>
      </w:r>
    </w:p>
    <w:p w:rsidR="00A12FC1" w:rsidRPr="00A12FC1" w:rsidRDefault="00A12FC1" w:rsidP="00A12FC1">
      <w:pPr>
        <w:shd w:val="clear" w:color="auto" w:fill="FFFFFF"/>
        <w:spacing w:line="209" w:lineRule="exact"/>
        <w:ind w:left="22" w:right="14" w:firstLine="338"/>
        <w:jc w:val="both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 xml:space="preserve">Производная показательной функции. Число </w:t>
      </w:r>
      <w:r w:rsidRPr="00A12FC1">
        <w:rPr>
          <w:rFonts w:eastAsia="Times New Roman"/>
          <w:i/>
          <w:iCs/>
          <w:color w:val="4A442A" w:themeColor="background2" w:themeShade="40"/>
          <w:sz w:val="22"/>
          <w:szCs w:val="22"/>
        </w:rPr>
        <w:t xml:space="preserve">е 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t>и нату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ральный логарифм. Производная степенной функции.</w:t>
      </w:r>
    </w:p>
    <w:p w:rsidR="00A12FC1" w:rsidRPr="00A12FC1" w:rsidRDefault="00A12FC1" w:rsidP="00A12FC1">
      <w:pPr>
        <w:shd w:val="clear" w:color="auto" w:fill="FFFFFF"/>
        <w:spacing w:line="209" w:lineRule="exact"/>
        <w:ind w:left="22" w:firstLine="338"/>
        <w:jc w:val="both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>Основная цель — привести в систему и обобщить сведения о степенях; ознакомить с показательной, лога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рифмической и степенной функциями и их свойствами; научить решать несложные показательные, логарифмиче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ские и иррациональные уравнения, их системы.</w:t>
      </w:r>
    </w:p>
    <w:p w:rsidR="00A12FC1" w:rsidRPr="00A12FC1" w:rsidRDefault="00A12FC1" w:rsidP="00A12FC1">
      <w:pPr>
        <w:shd w:val="clear" w:color="auto" w:fill="FFFFFF"/>
        <w:spacing w:line="209" w:lineRule="exact"/>
        <w:ind w:left="22" w:firstLine="338"/>
        <w:jc w:val="both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>Следует учесть, что в курсе алгебры девятилетней шко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 xml:space="preserve">лы вопросы, связанные со свойствами корней </w:t>
      </w:r>
      <w:proofErr w:type="spellStart"/>
      <w:r w:rsidRPr="00A12FC1">
        <w:rPr>
          <w:rFonts w:eastAsia="Times New Roman"/>
          <w:color w:val="4A442A" w:themeColor="background2" w:themeShade="40"/>
          <w:sz w:val="22"/>
          <w:szCs w:val="22"/>
        </w:rPr>
        <w:t>тг-й</w:t>
      </w:r>
      <w:proofErr w:type="spellEnd"/>
      <w:r w:rsidRPr="00A12FC1">
        <w:rPr>
          <w:rFonts w:eastAsia="Times New Roman"/>
          <w:color w:val="4A442A" w:themeColor="background2" w:themeShade="40"/>
          <w:sz w:val="22"/>
          <w:szCs w:val="22"/>
        </w:rPr>
        <w:t xml:space="preserve"> степени и свойствами степеней с рациональным показателем, воз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можно, не рассматривались, изучение могло быть ограниче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но действиями со степенями с целым показателем и квад</w:t>
      </w:r>
      <w:r w:rsidRPr="00A12FC1">
        <w:rPr>
          <w:rFonts w:eastAsia="Times New Roman"/>
          <w:color w:val="4A442A" w:themeColor="background2" w:themeShade="40"/>
          <w:sz w:val="22"/>
          <w:szCs w:val="22"/>
        </w:rPr>
        <w:softHyphen/>
        <w:t>ратными корнями. В зависимости от реальной подготовки класса эта тема изучается либо в виде повторения, либо как новый материал.</w:t>
      </w:r>
    </w:p>
    <w:p w:rsidR="00A12FC1" w:rsidRPr="00A12FC1" w:rsidRDefault="00A12FC1" w:rsidP="00A12FC1">
      <w:pPr>
        <w:shd w:val="clear" w:color="auto" w:fill="FFFFFF"/>
        <w:spacing w:line="209" w:lineRule="exact"/>
        <w:ind w:left="22" w:firstLine="346"/>
        <w:jc w:val="both"/>
        <w:rPr>
          <w:color w:val="4A442A" w:themeColor="background2" w:themeShade="40"/>
        </w:rPr>
      </w:pPr>
      <w:r w:rsidRPr="00A12FC1">
        <w:rPr>
          <w:rFonts w:eastAsia="Times New Roman"/>
          <w:color w:val="4A442A" w:themeColor="background2" w:themeShade="40"/>
          <w:sz w:val="22"/>
          <w:szCs w:val="22"/>
        </w:rPr>
        <w:t>Серьезное внимание следует уделить работе с основными логарифмическими и показательными тождествами.</w:t>
      </w:r>
    </w:p>
    <w:p w:rsidR="005F73DC" w:rsidRPr="00A12FC1" w:rsidRDefault="005F73DC">
      <w:pPr>
        <w:rPr>
          <w:color w:val="4A442A" w:themeColor="background2" w:themeShade="40"/>
        </w:rPr>
      </w:pPr>
    </w:p>
    <w:sectPr w:rsidR="005F73DC" w:rsidRPr="00A12FC1" w:rsidSect="005F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FC1"/>
    <w:rsid w:val="005F73DC"/>
    <w:rsid w:val="00A12FC1"/>
    <w:rsid w:val="00BE45B3"/>
    <w:rsid w:val="00F5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C1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F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Company>дом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cp:lastPrinted>2011-09-25T23:37:00Z</cp:lastPrinted>
  <dcterms:created xsi:type="dcterms:W3CDTF">2011-09-25T23:35:00Z</dcterms:created>
  <dcterms:modified xsi:type="dcterms:W3CDTF">2011-09-25T23:38:00Z</dcterms:modified>
</cp:coreProperties>
</file>