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09" w:rsidRPr="00953C52" w:rsidRDefault="00244A09" w:rsidP="008D561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53C5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A5F6D" w:rsidRPr="004A5F6D" w:rsidRDefault="004A5F6D" w:rsidP="004A5F6D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основе: Федерального компонента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03.06.2009 № 104-ФЗ) «О внесении изменений в кодекс РФ об административных правонарушениях в части установления административной ответственности за нарушение законодательства РФ в области образования и статьи 12 Закона РФ «Об образовании».  </w:t>
      </w:r>
      <w:r w:rsidRPr="004A5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5A4D" w:rsidRDefault="004A5F6D" w:rsidP="004A5F6D">
      <w:pPr>
        <w:rPr>
          <w:rFonts w:ascii="Times New Roman" w:hAnsi="Times New Roman" w:cs="Times New Roman"/>
          <w:sz w:val="28"/>
          <w:szCs w:val="28"/>
        </w:rPr>
      </w:pPr>
      <w:r w:rsidRPr="004A5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43C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программы Министерства образования Саратовской области и Министерства здра</w:t>
      </w:r>
      <w:r>
        <w:rPr>
          <w:rFonts w:ascii="Times New Roman" w:hAnsi="Times New Roman" w:cs="Times New Roman"/>
          <w:sz w:val="28"/>
          <w:szCs w:val="28"/>
        </w:rPr>
        <w:t>воохранения Саратовской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165A4D" w:rsidRDefault="00165A4D" w:rsidP="004A5F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343C">
        <w:rPr>
          <w:rFonts w:ascii="Times New Roman" w:hAnsi="Times New Roman" w:cs="Times New Roman"/>
          <w:sz w:val="28"/>
          <w:szCs w:val="28"/>
        </w:rPr>
        <w:t>Пример</w:t>
      </w:r>
      <w:r w:rsidRPr="0097343C">
        <w:rPr>
          <w:rFonts w:ascii="Times New Roman" w:hAnsi="Times New Roman" w:cs="Times New Roman"/>
          <w:sz w:val="28"/>
          <w:szCs w:val="28"/>
        </w:rPr>
        <w:softHyphen/>
        <w:t xml:space="preserve">ной программы для средних классов общеобразовательного учреждения, авторов </w:t>
      </w:r>
      <w:proofErr w:type="spellStart"/>
      <w:r w:rsidRPr="0097343C">
        <w:rPr>
          <w:rFonts w:ascii="Times New Roman" w:hAnsi="Times New Roman" w:cs="Times New Roman"/>
          <w:sz w:val="28"/>
          <w:szCs w:val="28"/>
        </w:rPr>
        <w:t>М.В.Лысогорской</w:t>
      </w:r>
      <w:proofErr w:type="spellEnd"/>
      <w:r w:rsidRPr="0097343C">
        <w:rPr>
          <w:rFonts w:ascii="Times New Roman" w:hAnsi="Times New Roman" w:cs="Times New Roman"/>
          <w:sz w:val="28"/>
          <w:szCs w:val="28"/>
        </w:rPr>
        <w:t xml:space="preserve">, М.М. Орловой, М.А.Павловой, </w:t>
      </w:r>
      <w:proofErr w:type="spellStart"/>
      <w:r w:rsidRPr="0097343C">
        <w:rPr>
          <w:rFonts w:ascii="Times New Roman" w:hAnsi="Times New Roman" w:cs="Times New Roman"/>
          <w:sz w:val="28"/>
          <w:szCs w:val="28"/>
        </w:rPr>
        <w:t>Т.В.Парсиковой</w:t>
      </w:r>
      <w:proofErr w:type="spellEnd"/>
      <w:r w:rsidRPr="009734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М.А.Тяпкиной,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Л.Е.Федкулиной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A4D" w:rsidRDefault="00165A4D" w:rsidP="004A5F6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В  рабочей программе нашли отражение цели и задачи изучения основ здорового образа жизни на ступени основного общего образования.</w:t>
      </w:r>
      <w:r w:rsidRPr="00B5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 5 класса. </w:t>
      </w:r>
      <w:r w:rsidRPr="0097343C">
        <w:rPr>
          <w:rFonts w:ascii="Times New Roman" w:hAnsi="Times New Roman" w:cs="Times New Roman"/>
          <w:sz w:val="28"/>
          <w:szCs w:val="28"/>
        </w:rPr>
        <w:t>Согласно действующему Базисному учебно</w:t>
      </w:r>
      <w:r>
        <w:rPr>
          <w:rFonts w:ascii="Times New Roman" w:hAnsi="Times New Roman" w:cs="Times New Roman"/>
          <w:sz w:val="28"/>
          <w:szCs w:val="28"/>
        </w:rPr>
        <w:t>му плану рабочая программа для 5</w:t>
      </w:r>
      <w:r w:rsidRPr="0097343C">
        <w:rPr>
          <w:rFonts w:ascii="Times New Roman" w:hAnsi="Times New Roman" w:cs="Times New Roman"/>
          <w:sz w:val="28"/>
          <w:szCs w:val="28"/>
        </w:rPr>
        <w:t>-го класса преду</w:t>
      </w:r>
      <w:r w:rsidRPr="0097343C">
        <w:rPr>
          <w:rFonts w:ascii="Times New Roman" w:hAnsi="Times New Roman" w:cs="Times New Roman"/>
          <w:sz w:val="28"/>
          <w:szCs w:val="28"/>
        </w:rPr>
        <w:softHyphen/>
        <w:t xml:space="preserve">сматривает обучение  в объеме </w:t>
      </w:r>
      <w:r>
        <w:rPr>
          <w:rFonts w:ascii="Times New Roman" w:hAnsi="Times New Roman" w:cs="Times New Roman"/>
          <w:bCs/>
          <w:sz w:val="28"/>
          <w:szCs w:val="28"/>
        </w:rPr>
        <w:t>1 часа в неделю, всего в год -34часа</w:t>
      </w:r>
    </w:p>
    <w:p w:rsidR="00165A4D" w:rsidRDefault="00165A4D" w:rsidP="00165A4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65A4D" w:rsidRDefault="00165A4D" w:rsidP="004A5F6D">
      <w:pPr>
        <w:pStyle w:val="a5"/>
        <w:spacing w:line="240" w:lineRule="auto"/>
        <w:ind w:firstLine="708"/>
        <w:rPr>
          <w:rFonts w:ascii="Times New Roman" w:hAnsi="Times New Roman"/>
        </w:rPr>
      </w:pPr>
      <w:r w:rsidRPr="00165A4D">
        <w:rPr>
          <w:rFonts w:ascii="Times New Roman" w:hAnsi="Times New Roman"/>
        </w:rPr>
        <w:t xml:space="preserve"> </w:t>
      </w:r>
      <w:r w:rsidRPr="00D4117C">
        <w:rPr>
          <w:rFonts w:ascii="Times New Roman" w:hAnsi="Times New Roman"/>
        </w:rPr>
        <w:t xml:space="preserve">МБОУ «ООШ с. </w:t>
      </w:r>
      <w:proofErr w:type="spellStart"/>
      <w:r w:rsidRPr="00D4117C">
        <w:rPr>
          <w:rFonts w:ascii="Times New Roman" w:hAnsi="Times New Roman"/>
        </w:rPr>
        <w:t>Старицкое</w:t>
      </w:r>
      <w:proofErr w:type="spellEnd"/>
      <w:r w:rsidRPr="00D4117C">
        <w:rPr>
          <w:rFonts w:ascii="Times New Roman" w:hAnsi="Times New Roman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E32294" w:rsidRPr="00E32294" w:rsidRDefault="00E32294" w:rsidP="00E32294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3229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Модель выпускника основной школы                                                                                                  </w:t>
      </w: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любящий свой край и своё Отечество, уважающий свой народ. Его культуру и его традиции</w:t>
      </w:r>
      <w:proofErr w:type="gramStart"/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.</w:t>
      </w:r>
      <w:proofErr w:type="gramEnd"/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                                   – осознающий и понимающий ценность человеческой жизни, семьи, гражданского общества, многонационального российского народа, человечества.                                                                                                                                         – активно и заинтересованно познающий мир, осознающий ценность труда, науки и творчества.</w:t>
      </w:r>
    </w:p>
    <w:p w:rsidR="00E32294" w:rsidRPr="00E32294" w:rsidRDefault="00E32294" w:rsidP="00E32294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Цели работы школы:                                                                                                               - Сформировать личность, готовую к самоопределению своего места в творческом преобразовании окружающего мира, к саморазвитию;</w:t>
      </w:r>
    </w:p>
    <w:p w:rsidR="00E32294" w:rsidRPr="00E32294" w:rsidRDefault="00E32294" w:rsidP="00E32294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Обеспечить реализацию к праву каждого учащегося на получение образованию в соответствии с его потребностью и возможностями;</w:t>
      </w:r>
    </w:p>
    <w:p w:rsidR="00E32294" w:rsidRPr="00E32294" w:rsidRDefault="00E32294" w:rsidP="00E32294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- Сформировать у учащихся школы устойчивые познавательные интересы;</w:t>
      </w:r>
    </w:p>
    <w:p w:rsidR="00E32294" w:rsidRPr="00E32294" w:rsidRDefault="00E32294" w:rsidP="00E32294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Включить каждого ученика в работу на учебных занятиях в качестве активных участников и организаторов образовательного процесса;</w:t>
      </w:r>
    </w:p>
    <w:p w:rsidR="00E32294" w:rsidRPr="00E32294" w:rsidRDefault="00E32294" w:rsidP="00E32294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Повысить качество обучения школьников за счет освоения технологий, обеспечивающих успешность самостоятельной работы каждого ученика;</w:t>
      </w:r>
    </w:p>
    <w:p w:rsidR="00E32294" w:rsidRPr="00E32294" w:rsidRDefault="00E32294" w:rsidP="00E32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Усилить влияние школы на социализацию личности школьника, его адаптацию к новым экономическим условиям, самоопределения в отношении бедующей профессии.</w:t>
      </w: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165A4D" w:rsidRPr="00E32294" w:rsidRDefault="00E32294" w:rsidP="00E32294">
      <w:pPr>
        <w:shd w:val="clear" w:color="auto" w:fill="FFFFFF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322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3229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Изучение тематики данной программы направлено на достижение следующих целей: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65A4D" w:rsidRDefault="00165A4D" w:rsidP="004A5F6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 xml:space="preserve">Цели регионального курса «Основы здорового образа жизни»: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97343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7343C">
        <w:rPr>
          <w:rFonts w:ascii="Times New Roman" w:hAnsi="Times New Roman" w:cs="Times New Roman"/>
          <w:sz w:val="28"/>
          <w:szCs w:val="28"/>
        </w:rPr>
        <w:t xml:space="preserve"> и безопасного поведения.</w:t>
      </w:r>
      <w:r>
        <w:rPr>
          <w:rFonts w:ascii="Times New Roman" w:hAnsi="Times New Roman" w:cs="Times New Roman"/>
          <w:sz w:val="28"/>
          <w:szCs w:val="28"/>
        </w:rPr>
        <w:tab/>
      </w:r>
      <w:r w:rsidRPr="0097343C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получение учениками знаний и навыков, необходимых для создания семейных отношений и воспитания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формирование  навыков гигиены и профилактики заболеваний;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 xml:space="preserve">формирование навыков ухода за больными;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формирование навыков  рационального питания и других способов самосовершенствования.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7343C">
        <w:rPr>
          <w:rFonts w:ascii="Times New Roman" w:hAnsi="Times New Roman" w:cs="Times New Roman"/>
          <w:sz w:val="28"/>
          <w:szCs w:val="28"/>
        </w:rPr>
        <w:t xml:space="preserve"> 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 w:rsidRPr="0097343C">
        <w:rPr>
          <w:rFonts w:ascii="Times New Roman" w:hAnsi="Times New Roman" w:cs="Times New Roman"/>
          <w:sz w:val="28"/>
          <w:szCs w:val="28"/>
        </w:rPr>
        <w:t>семьеведения</w:t>
      </w:r>
      <w:proofErr w:type="spellEnd"/>
      <w:r w:rsidRPr="0097343C">
        <w:rPr>
          <w:rFonts w:ascii="Times New Roman" w:hAnsi="Times New Roman" w:cs="Times New Roman"/>
          <w:sz w:val="28"/>
          <w:szCs w:val="28"/>
        </w:rPr>
        <w:t>, сексологии, физиологии, анатомии и гигиены человека в аспекте пропаганды, обучения и воспитания здорового</w:t>
      </w:r>
      <w:r>
        <w:rPr>
          <w:rFonts w:ascii="Times New Roman" w:hAnsi="Times New Roman" w:cs="Times New Roman"/>
          <w:sz w:val="28"/>
          <w:szCs w:val="28"/>
        </w:rPr>
        <w:t xml:space="preserve">  образа жизни.</w:t>
      </w:r>
    </w:p>
    <w:p w:rsidR="00165A4D" w:rsidRDefault="00165A4D" w:rsidP="00165A4D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программы изучаемый в </w:t>
      </w:r>
      <w:r w:rsidRPr="0097343C">
        <w:rPr>
          <w:rFonts w:ascii="Times New Roman" w:hAnsi="Times New Roman" w:cs="Times New Roman"/>
          <w:sz w:val="28"/>
          <w:szCs w:val="28"/>
        </w:rPr>
        <w:t xml:space="preserve"> классе называется</w:t>
      </w:r>
      <w:r>
        <w:rPr>
          <w:rFonts w:ascii="Times New Roman" w:hAnsi="Times New Roman" w:cs="Times New Roman"/>
          <w:b/>
          <w:bCs/>
          <w:sz w:val="28"/>
          <w:szCs w:val="28"/>
        </w:rPr>
        <w:t>: «Моё место в этом мире</w:t>
      </w:r>
      <w:r w:rsidRPr="0097343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A5F6D" w:rsidRDefault="00165A4D" w:rsidP="00B9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43C">
        <w:rPr>
          <w:rFonts w:ascii="Times New Roman" w:hAnsi="Times New Roman" w:cs="Times New Roman"/>
          <w:sz w:val="28"/>
          <w:szCs w:val="28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  <w:r w:rsidRPr="0097343C">
        <w:rPr>
          <w:rFonts w:ascii="Times New Roman" w:hAnsi="Times New Roman" w:cs="Times New Roman"/>
          <w:sz w:val="28"/>
          <w:szCs w:val="28"/>
        </w:rPr>
        <w:br/>
        <w:t xml:space="preserve">Особое внимание уделяется познавательной активности учащихся, их </w:t>
      </w:r>
      <w:proofErr w:type="spellStart"/>
      <w:r w:rsidRPr="0097343C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97343C">
        <w:rPr>
          <w:rFonts w:ascii="Times New Roman" w:hAnsi="Times New Roman" w:cs="Times New Roman"/>
          <w:sz w:val="28"/>
          <w:szCs w:val="28"/>
        </w:rPr>
        <w:t xml:space="preserve"> к самостоятельной </w:t>
      </w:r>
      <w:r>
        <w:rPr>
          <w:rFonts w:ascii="Times New Roman" w:hAnsi="Times New Roman" w:cs="Times New Roman"/>
          <w:sz w:val="28"/>
          <w:szCs w:val="28"/>
        </w:rPr>
        <w:t>учебной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4D" w:rsidRPr="00165A4D" w:rsidRDefault="00165A4D" w:rsidP="00B9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курса учащиеся будут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5F6D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  <w:r w:rsidRPr="004A5F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вопросы отношения к окружающему миру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формы поведения человека (успешные и неуспешные, уверенное и неуверенное, грубое)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такое  расслабление,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что такое  генеалогическое дерево своей семьи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7343C">
        <w:rPr>
          <w:rFonts w:ascii="Times New Roman" w:hAnsi="Times New Roman" w:cs="Times New Roman"/>
          <w:sz w:val="28"/>
          <w:szCs w:val="28"/>
        </w:rPr>
        <w:t>что такое  семейные реликвии</w:t>
      </w:r>
      <w:proofErr w:type="gramStart"/>
      <w:r w:rsidRPr="0097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что такое  семейные традиции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7343C">
        <w:rPr>
          <w:rFonts w:ascii="Times New Roman" w:hAnsi="Times New Roman" w:cs="Times New Roman"/>
          <w:sz w:val="28"/>
          <w:szCs w:val="28"/>
        </w:rPr>
        <w:t>что такое  личная гигиена</w:t>
      </w:r>
      <w:r w:rsidR="00B91D8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о факторах окружающей среды, влияющих на здоровье человека</w:t>
      </w:r>
      <w:r w:rsidR="00B91D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5A4D" w:rsidRDefault="00165A4D" w:rsidP="004A5F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5F6D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характеризовать  взаимосвязь элементов  живой природы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43C">
        <w:rPr>
          <w:rFonts w:ascii="Times New Roman" w:hAnsi="Times New Roman" w:cs="Times New Roman"/>
          <w:sz w:val="28"/>
          <w:szCs w:val="28"/>
        </w:rPr>
        <w:t>характеризовать  правила поведения в обществе</w:t>
      </w:r>
      <w:proofErr w:type="gramStart"/>
      <w:r w:rsidRPr="0097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 xml:space="preserve">характеризовать  понятие </w:t>
      </w:r>
      <w:r w:rsidRPr="0097343C">
        <w:rPr>
          <w:rFonts w:ascii="Times New Roman" w:hAnsi="Times New Roman" w:cs="Times New Roman"/>
          <w:sz w:val="28"/>
          <w:szCs w:val="28"/>
        </w:rPr>
        <w:lastRenderedPageBreak/>
        <w:t>семейные реликвии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43C">
        <w:rPr>
          <w:rFonts w:ascii="Times New Roman" w:hAnsi="Times New Roman" w:cs="Times New Roman"/>
          <w:sz w:val="28"/>
          <w:szCs w:val="28"/>
        </w:rPr>
        <w:t>слушать собеседника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1D82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Pr="0097343C">
        <w:rPr>
          <w:rFonts w:ascii="Times New Roman" w:hAnsi="Times New Roman" w:cs="Times New Roman"/>
          <w:sz w:val="28"/>
          <w:szCs w:val="28"/>
        </w:rPr>
        <w:t>генеалогическое древо своей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43C">
        <w:rPr>
          <w:rFonts w:ascii="Times New Roman" w:hAnsi="Times New Roman" w:cs="Times New Roman"/>
          <w:sz w:val="28"/>
          <w:szCs w:val="28"/>
        </w:rPr>
        <w:t>пользоваться средствами личной гигиены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43C">
        <w:rPr>
          <w:rFonts w:ascii="Times New Roman" w:hAnsi="Times New Roman" w:cs="Times New Roman"/>
          <w:sz w:val="28"/>
          <w:szCs w:val="28"/>
        </w:rPr>
        <w:t>вооружиться навыками без</w:t>
      </w:r>
      <w:r>
        <w:rPr>
          <w:rFonts w:ascii="Times New Roman" w:hAnsi="Times New Roman" w:cs="Times New Roman"/>
          <w:sz w:val="28"/>
          <w:szCs w:val="28"/>
        </w:rPr>
        <w:t xml:space="preserve">опасного взаимодействия с миром, </w:t>
      </w:r>
      <w:r w:rsidRPr="0097343C">
        <w:rPr>
          <w:rFonts w:ascii="Times New Roman" w:hAnsi="Times New Roman" w:cs="Times New Roman"/>
          <w:sz w:val="28"/>
          <w:szCs w:val="28"/>
        </w:rPr>
        <w:t>осуществлять</w:t>
      </w:r>
      <w:r w:rsidRPr="009734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собственный индивидуальный выбор в отношении с миром, развивать способность самостоятельно строить свою судьбу</w:t>
      </w:r>
      <w:r w:rsidR="00B91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3C">
        <w:rPr>
          <w:rFonts w:ascii="Times New Roman" w:hAnsi="Times New Roman" w:cs="Times New Roman"/>
          <w:sz w:val="28"/>
          <w:szCs w:val="28"/>
        </w:rPr>
        <w:t>характеризовать состояние окружающей среды обитания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43C">
        <w:rPr>
          <w:rFonts w:ascii="Times New Roman" w:hAnsi="Times New Roman" w:cs="Times New Roman"/>
          <w:sz w:val="28"/>
          <w:szCs w:val="28"/>
        </w:rPr>
        <w:t>проводить закаливание организма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43C">
        <w:rPr>
          <w:rFonts w:ascii="Times New Roman" w:hAnsi="Times New Roman" w:cs="Times New Roman"/>
          <w:sz w:val="28"/>
          <w:szCs w:val="28"/>
        </w:rPr>
        <w:t xml:space="preserve">правильно сидеть при работе за столом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A4D" w:rsidRPr="004364EE" w:rsidRDefault="00165A4D" w:rsidP="004A5F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343C">
        <w:rPr>
          <w:rFonts w:ascii="Times New Roman" w:hAnsi="Times New Roman" w:cs="Times New Roman"/>
          <w:sz w:val="28"/>
          <w:szCs w:val="28"/>
        </w:rPr>
        <w:t>Занятия проводятся в форме лекций, семинаров, бесед, дискуссий.</w:t>
      </w:r>
      <w:r w:rsidR="004A5F6D">
        <w:rPr>
          <w:rFonts w:ascii="Times New Roman" w:hAnsi="Times New Roman" w:cs="Times New Roman"/>
          <w:sz w:val="28"/>
          <w:szCs w:val="28"/>
        </w:rPr>
        <w:t xml:space="preserve"> С использованием ИКТ и проектной деятельности.</w:t>
      </w:r>
    </w:p>
    <w:p w:rsidR="00165A4D" w:rsidRPr="00953C52" w:rsidRDefault="00165A4D" w:rsidP="00165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09" w:rsidRPr="00953C52" w:rsidRDefault="00244A09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4A09" w:rsidRPr="00953C52" w:rsidRDefault="00244A09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4A09" w:rsidRPr="00953C52" w:rsidRDefault="00244A09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4A09" w:rsidRPr="00953C52" w:rsidRDefault="00244A09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4A09" w:rsidRPr="00953C52" w:rsidRDefault="00244A09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4A09" w:rsidRDefault="00244A09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64EE" w:rsidRPr="004364EE" w:rsidRDefault="004364EE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A09" w:rsidRPr="00953C52" w:rsidRDefault="00244A09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4A09" w:rsidRPr="00953C52" w:rsidRDefault="00244A09" w:rsidP="008D56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1D82" w:rsidRDefault="00B91D82" w:rsidP="004A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F6D" w:rsidRDefault="004A5F6D" w:rsidP="004A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F6D" w:rsidRDefault="004A5F6D" w:rsidP="004A5F6D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B906E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B906E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B906EC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953C52"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  <w:t>Учебно-тематический план ОЗОЖ 5 класс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4"/>
        <w:gridCol w:w="708"/>
        <w:gridCol w:w="1418"/>
        <w:gridCol w:w="1559"/>
        <w:gridCol w:w="1843"/>
      </w:tblGrid>
      <w:tr w:rsidR="00B91D82" w:rsidRPr="00953C52" w:rsidTr="00B973CF">
        <w:tc>
          <w:tcPr>
            <w:tcW w:w="567" w:type="dxa"/>
          </w:tcPr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</w:t>
            </w:r>
            <w:proofErr w:type="gramEnd"/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/п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Тематический блок 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Кол-во часов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ИКТ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проектной деятельности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 исследователь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ской</w:t>
            </w:r>
            <w:proofErr w:type="spellEnd"/>
            <w:r w:rsidRPr="00953C52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деятельности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Этический блок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Непрерывность и цикличность жизни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Происхождение жизни на земле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44A09" w:rsidRPr="00953C52" w:rsidRDefault="009F7EDC" w:rsidP="009F7ED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Цикличность жизни человека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Прошлое,</w:t>
            </w:r>
          </w:p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настоящее, бедующее в жизни человека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Преемственность поколений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9F7EDC" w:rsidP="009F7ED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жизненного опыта от поколения к поколению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Психологический блок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самоопределения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Креативность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9F7EDC" w:rsidP="009F7ED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Логическое мышление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Чувство юмора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обратиться к </w:t>
            </w:r>
            <w:proofErr w:type="gramStart"/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Умения слушать собеседника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в группе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Наблюдательность и интеллектуальная гибкость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Правовой блок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декларацией прав ребёнка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9F7EDC" w:rsidP="009F7ED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 и обязанности детей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9F7EDC" w:rsidP="009F7ED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 ребёнка в Российской Федерации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Справедливость, правоспособность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прав в повседневной жизни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Интересы детей в социальной инфраструктуре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Семьеведческий</w:t>
            </w:r>
            <w:proofErr w:type="spellEnd"/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блок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 и её функции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9F7EDC" w:rsidP="009F7ED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Психологическая функция семьи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Хозяйственная функция семьи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функция семьи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семьи на протяжении веков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9F7EDC" w:rsidP="009F7ED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Изменение семейных ценностей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Медико – гигиенический блок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Перестройка деятельности организма в подростковом возрасте (у девочек)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Перестройка деятельности организма в подростковом возрасте (у мальчиков)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Гигиена тела и полости рта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9F7ED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дня и его особенности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9F7EDC" w:rsidP="009F7ED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Гигиена питания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близорукости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инфекционных заболеваний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82" w:rsidRPr="00953C52" w:rsidTr="00B973CF">
        <w:tc>
          <w:tcPr>
            <w:tcW w:w="567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94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Вредные привычки</w:t>
            </w:r>
          </w:p>
        </w:tc>
        <w:tc>
          <w:tcPr>
            <w:tcW w:w="70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44A09" w:rsidRPr="00953C52" w:rsidRDefault="009F7EDC" w:rsidP="009F7ED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</w:tcPr>
          <w:p w:rsidR="00244A09" w:rsidRPr="00953C52" w:rsidRDefault="00244A09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4A09" w:rsidRPr="00953C52" w:rsidRDefault="00244A09" w:rsidP="00C535F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Default="00244A09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Default="00244A09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Default="00244A09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Default="00244A09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Default="00244A09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1D82" w:rsidRDefault="00B91D82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A5F6D" w:rsidRDefault="004A5F6D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A5F6D" w:rsidRDefault="004A5F6D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A5F6D" w:rsidRDefault="004A5F6D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4A5F6D" w:rsidRDefault="004A5F6D" w:rsidP="00B906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12B08" w:rsidRDefault="00512B08" w:rsidP="00512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73CF" w:rsidRDefault="00B973CF" w:rsidP="00512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73CF" w:rsidRDefault="00B973CF" w:rsidP="00512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73CF" w:rsidRDefault="00B973CF" w:rsidP="00512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73CF" w:rsidRDefault="00B973CF" w:rsidP="00512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73CF" w:rsidRDefault="00B973CF" w:rsidP="00512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73CF" w:rsidRDefault="00B973CF" w:rsidP="00512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973CF" w:rsidRDefault="00B973CF" w:rsidP="00512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512B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953C52"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  <w:t>Основное содержание тематического плана ОЗОЖ 5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1985"/>
      </w:tblGrid>
      <w:tr w:rsidR="00244A09" w:rsidRPr="00953C52" w:rsidTr="00B973CF">
        <w:tc>
          <w:tcPr>
            <w:tcW w:w="6946" w:type="dxa"/>
          </w:tcPr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Тематический блок, тема учебного занятия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953C52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Количество часов</w:t>
            </w:r>
          </w:p>
          <w:p w:rsidR="00244A09" w:rsidRPr="00953C52" w:rsidRDefault="00244A09" w:rsidP="00641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244A09" w:rsidRPr="00953C52" w:rsidTr="00B973CF">
        <w:tc>
          <w:tcPr>
            <w:tcW w:w="6946" w:type="dxa"/>
          </w:tcPr>
          <w:p w:rsidR="00244A09" w:rsidRPr="009F7EDC" w:rsidRDefault="00244A09" w:rsidP="008D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E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Этический блок</w:t>
            </w:r>
          </w:p>
          <w:p w:rsidR="00B91D82" w:rsidRPr="00953C52" w:rsidRDefault="00B91D82" w:rsidP="004A5F6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Философские понятия о мире, жизни, закономерности существования Вселенной.  Понятия о заботе, ответственности, люб</w:t>
            </w:r>
            <w:r w:rsidR="004A5F6D">
              <w:rPr>
                <w:rFonts w:ascii="Times New Roman" w:hAnsi="Times New Roman" w:cs="Times New Roman"/>
                <w:sz w:val="28"/>
                <w:szCs w:val="28"/>
              </w:rPr>
              <w:t>ови, красоте, гармонии, счастье.  Смысл жизни творчество,  свобода,  добро и зло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5F6D">
              <w:rPr>
                <w:rFonts w:ascii="Times New Roman" w:hAnsi="Times New Roman" w:cs="Times New Roman"/>
                <w:sz w:val="28"/>
                <w:szCs w:val="28"/>
              </w:rPr>
              <w:t>жизнь и смерть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F6D">
              <w:t xml:space="preserve"> </w:t>
            </w:r>
            <w:r w:rsidR="004A5F6D">
              <w:rPr>
                <w:rFonts w:ascii="Times New Roman" w:hAnsi="Times New Roman" w:cs="Times New Roman"/>
                <w:sz w:val="28"/>
                <w:szCs w:val="28"/>
              </w:rPr>
              <w:t xml:space="preserve">Вселенная. Планета Земля. Жизнь. Происхождение жизни на Земле. </w:t>
            </w:r>
            <w:r w:rsidR="004A5F6D" w:rsidRPr="004A5F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5F6D">
              <w:rPr>
                <w:rFonts w:ascii="Times New Roman" w:hAnsi="Times New Roman" w:cs="Times New Roman"/>
                <w:sz w:val="28"/>
                <w:szCs w:val="28"/>
              </w:rPr>
              <w:t xml:space="preserve">азнообразие видов живых существ. </w:t>
            </w:r>
            <w:r w:rsidR="004A5F6D" w:rsidRPr="004A5F6D">
              <w:rPr>
                <w:rFonts w:ascii="Times New Roman" w:hAnsi="Times New Roman" w:cs="Times New Roman"/>
                <w:sz w:val="28"/>
                <w:szCs w:val="28"/>
              </w:rPr>
              <w:t>Человека как</w:t>
            </w:r>
            <w:r w:rsidR="004A5F6D">
              <w:rPr>
                <w:rFonts w:ascii="Times New Roman" w:hAnsi="Times New Roman" w:cs="Times New Roman"/>
                <w:sz w:val="28"/>
                <w:szCs w:val="28"/>
              </w:rPr>
              <w:t xml:space="preserve"> вершина эволюции живой природы. Цикличность жизни. Прошлое. Настоящее. Будущее. Поколение. Младенец. Ребёнок. Взрослый человек. Передача жизненного опыта. </w:t>
            </w:r>
            <w:r w:rsidR="004A5F6D" w:rsidRPr="004A5F6D">
              <w:rPr>
                <w:rFonts w:ascii="Times New Roman" w:hAnsi="Times New Roman" w:cs="Times New Roman"/>
                <w:sz w:val="28"/>
                <w:szCs w:val="28"/>
              </w:rPr>
              <w:t>Смена и связь поколений</w:t>
            </w:r>
            <w:r w:rsidR="004A5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4A09" w:rsidRPr="00512B08" w:rsidRDefault="00244A09" w:rsidP="008D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B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44A09" w:rsidRPr="00953C52" w:rsidTr="00B973CF">
        <w:tc>
          <w:tcPr>
            <w:tcW w:w="6946" w:type="dxa"/>
          </w:tcPr>
          <w:p w:rsidR="00244A09" w:rsidRPr="009F7EDC" w:rsidRDefault="00244A09" w:rsidP="008D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E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Психологический блок</w:t>
            </w:r>
          </w:p>
          <w:p w:rsidR="00B91D82" w:rsidRPr="00953C52" w:rsidRDefault="00B91D82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строении проявлении  психики, структуре личности, самоанализе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Формирует и развивает умение приводить в гармонию и единство различные стороны своей личности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пражнения, направленные на развитие  личности, интеллектуальной и эмоциональной сфер, чувство собственного достоинства, профилактике болезней, асоциального поведения и умения быть здоровым.</w:t>
            </w:r>
          </w:p>
        </w:tc>
        <w:tc>
          <w:tcPr>
            <w:tcW w:w="1985" w:type="dxa"/>
          </w:tcPr>
          <w:p w:rsidR="00244A09" w:rsidRPr="00512B08" w:rsidRDefault="00244A09" w:rsidP="008D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B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244A09" w:rsidRPr="00953C52" w:rsidTr="00B973CF">
        <w:tc>
          <w:tcPr>
            <w:tcW w:w="6946" w:type="dxa"/>
          </w:tcPr>
          <w:p w:rsidR="00244A09" w:rsidRPr="009F7EDC" w:rsidRDefault="00244A09" w:rsidP="008D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E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Правовой блок</w:t>
            </w:r>
          </w:p>
          <w:p w:rsidR="004A5F6D" w:rsidRPr="004A5F6D" w:rsidRDefault="00B91D82" w:rsidP="004A5F6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человека в семье, навыки правового поведения, правильное понимание свободы и необходимости</w:t>
            </w:r>
            <w:r w:rsidR="00512B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5F6D">
              <w:rPr>
                <w:rFonts w:ascii="Times New Roman" w:hAnsi="Times New Roman" w:cs="Times New Roman"/>
                <w:sz w:val="28"/>
                <w:szCs w:val="28"/>
              </w:rPr>
              <w:t xml:space="preserve">Ребёнок как субъект права. Справедливость. Правоспособность. </w:t>
            </w:r>
            <w:r w:rsidR="00512B0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службы для детей. </w:t>
            </w:r>
            <w:r w:rsidR="004A5F6D" w:rsidRPr="004A5F6D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интересах детей</w:t>
            </w:r>
          </w:p>
          <w:p w:rsidR="00B91D82" w:rsidRPr="00953C52" w:rsidRDefault="00512B08" w:rsidP="004A5F6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детей. </w:t>
            </w:r>
            <w:r w:rsidR="004A5F6D" w:rsidRPr="004A5F6D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ребёнка</w:t>
            </w:r>
          </w:p>
        </w:tc>
        <w:tc>
          <w:tcPr>
            <w:tcW w:w="1985" w:type="dxa"/>
          </w:tcPr>
          <w:p w:rsidR="00244A09" w:rsidRPr="00512B08" w:rsidRDefault="00244A09" w:rsidP="008D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B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44A09" w:rsidRPr="00953C52" w:rsidTr="00B973CF">
        <w:tc>
          <w:tcPr>
            <w:tcW w:w="6946" w:type="dxa"/>
          </w:tcPr>
          <w:p w:rsidR="00244A09" w:rsidRPr="009F7EDC" w:rsidRDefault="00244A09" w:rsidP="008D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7E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Семьеведческий</w:t>
            </w:r>
            <w:proofErr w:type="spellEnd"/>
            <w:r w:rsidRPr="009F7E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блок</w:t>
            </w:r>
          </w:p>
          <w:p w:rsidR="00B91D82" w:rsidRPr="00953C52" w:rsidRDefault="00B91D82" w:rsidP="008D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о механизмах создания, развития и функционирования семьи.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полоролевого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поведения, мужественности и женственности</w:t>
            </w:r>
          </w:p>
        </w:tc>
        <w:tc>
          <w:tcPr>
            <w:tcW w:w="1985" w:type="dxa"/>
          </w:tcPr>
          <w:p w:rsidR="00244A09" w:rsidRPr="00512B08" w:rsidRDefault="00244A09" w:rsidP="008D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B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44A09" w:rsidRPr="00953C52" w:rsidTr="00B973CF">
        <w:tc>
          <w:tcPr>
            <w:tcW w:w="6946" w:type="dxa"/>
          </w:tcPr>
          <w:p w:rsidR="00244A09" w:rsidRPr="009F7EDC" w:rsidRDefault="00244A09" w:rsidP="008D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7E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Медико-гигиенический блок</w:t>
            </w:r>
          </w:p>
          <w:p w:rsidR="00512B08" w:rsidRPr="00512B08" w:rsidRDefault="00B91D82" w:rsidP="00512B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семье; 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полоролевого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мужественности и женственности семье; 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полоролевого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поведения, мужественности и женственности</w:t>
            </w:r>
            <w:r w:rsidR="00512B08">
              <w:rPr>
                <w:rFonts w:ascii="Times New Roman" w:hAnsi="Times New Roman" w:cs="Times New Roman"/>
                <w:sz w:val="28"/>
                <w:szCs w:val="28"/>
              </w:rPr>
              <w:t xml:space="preserve">. Ребенок, подросток, взрослый. Переходный возраст. </w:t>
            </w:r>
            <w:r w:rsidR="00512B08" w:rsidRPr="00512B08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 w:rsidR="00512B08">
              <w:rPr>
                <w:rFonts w:ascii="Times New Roman" w:hAnsi="Times New Roman" w:cs="Times New Roman"/>
                <w:sz w:val="28"/>
                <w:szCs w:val="28"/>
              </w:rPr>
              <w:t xml:space="preserve">ые и вторичные половые признаки. Гормоны. </w:t>
            </w:r>
            <w:r w:rsidR="00512B08" w:rsidRPr="00512B08">
              <w:rPr>
                <w:rFonts w:ascii="Times New Roman" w:hAnsi="Times New Roman" w:cs="Times New Roman"/>
                <w:sz w:val="28"/>
                <w:szCs w:val="28"/>
              </w:rPr>
              <w:t>Железы внутренней секреции</w:t>
            </w:r>
          </w:p>
          <w:p w:rsidR="00512B08" w:rsidRPr="00512B08" w:rsidRDefault="00512B08" w:rsidP="00512B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Ребенок, подросток, взрослый.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Переходный возраст</w:t>
            </w:r>
          </w:p>
          <w:p w:rsidR="00512B08" w:rsidRPr="00512B08" w:rsidRDefault="00512B08" w:rsidP="00512B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и вторичные половые признаки. Личная гигиена.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Уход за кожей, волосами, ногтями, зубами</w:t>
            </w:r>
          </w:p>
          <w:p w:rsidR="00512B08" w:rsidRPr="00512B08" w:rsidRDefault="00512B08" w:rsidP="00512B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кожных покровов.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Профилактика болезней</w:t>
            </w:r>
          </w:p>
          <w:p w:rsidR="00512B08" w:rsidRPr="00512B08" w:rsidRDefault="00512B08" w:rsidP="00512B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ациональный режим для школьника.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Режим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рудового воспитания и обучения.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Рациональное питание</w:t>
            </w:r>
          </w:p>
          <w:p w:rsidR="00512B08" w:rsidRPr="00512B08" w:rsidRDefault="00512B08" w:rsidP="00512B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пищи.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Белки, жиры,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углеводы, минеральные вещества. Сбалансированное питание.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требования к хранению продуктов</w:t>
            </w:r>
          </w:p>
          <w:p w:rsidR="00512B08" w:rsidRPr="00512B08" w:rsidRDefault="00512B08" w:rsidP="00512B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Орган зрения и его световоспринимающий аппарат</w:t>
            </w:r>
          </w:p>
          <w:p w:rsidR="00512B08" w:rsidRPr="00512B08" w:rsidRDefault="00512B08" w:rsidP="00512B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Близорукость и необх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одимость борьбы с ней, профилактика косоглазия.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Факторы, приводящие к чрезмерной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нагрузке на зрительную систему. Снятие зрительного утомления. Иммунитет.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 условия их возникновения и течения</w:t>
            </w:r>
          </w:p>
          <w:p w:rsidR="00512B08" w:rsidRPr="00512B08" w:rsidRDefault="00512B08" w:rsidP="00512B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актика инфекционных заболеваний.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 xml:space="preserve">Вредные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привычки. Вредные вещества.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Психотропные вещества</w:t>
            </w:r>
          </w:p>
          <w:p w:rsidR="00B91D82" w:rsidRPr="00953C52" w:rsidRDefault="00512B08" w:rsidP="00512B0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Отравление. Привыкание.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еская и психическая зависимость. Социальный статус. Самочувствие. Самосознание.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и их 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неблагоприят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влияние на органы и системы о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>рганизм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2B0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4A09" w:rsidRPr="00512B08" w:rsidRDefault="00244A09" w:rsidP="008D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B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</w:tr>
    </w:tbl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Pr="00953C52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244A09" w:rsidRDefault="00244A09" w:rsidP="00C535FB">
      <w:pPr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sectPr w:rsidR="00244A09" w:rsidSect="00512B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61D"/>
    <w:rsid w:val="00044252"/>
    <w:rsid w:val="0006061D"/>
    <w:rsid w:val="00165A4D"/>
    <w:rsid w:val="00244A09"/>
    <w:rsid w:val="00264D76"/>
    <w:rsid w:val="00340C41"/>
    <w:rsid w:val="004364EE"/>
    <w:rsid w:val="004A5F6D"/>
    <w:rsid w:val="00512B08"/>
    <w:rsid w:val="00611F43"/>
    <w:rsid w:val="006411B8"/>
    <w:rsid w:val="00734F66"/>
    <w:rsid w:val="00741BD2"/>
    <w:rsid w:val="007478EA"/>
    <w:rsid w:val="008D561D"/>
    <w:rsid w:val="008F61FF"/>
    <w:rsid w:val="00953C52"/>
    <w:rsid w:val="0097343C"/>
    <w:rsid w:val="009F7EDC"/>
    <w:rsid w:val="00A9726A"/>
    <w:rsid w:val="00B906EC"/>
    <w:rsid w:val="00B91D82"/>
    <w:rsid w:val="00B973CF"/>
    <w:rsid w:val="00C14C3E"/>
    <w:rsid w:val="00C535FB"/>
    <w:rsid w:val="00D304C1"/>
    <w:rsid w:val="00E32294"/>
    <w:rsid w:val="00F05247"/>
    <w:rsid w:val="00F8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1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D561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8D561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_основной Знак"/>
    <w:link w:val="a5"/>
    <w:locked/>
    <w:rsid w:val="00165A4D"/>
    <w:rPr>
      <w:rFonts w:ascii="Cambria" w:eastAsia="Cambria" w:hAnsi="Cambria"/>
      <w:sz w:val="28"/>
      <w:szCs w:val="28"/>
    </w:rPr>
  </w:style>
  <w:style w:type="paragraph" w:customStyle="1" w:styleId="a5">
    <w:name w:val="А_основной"/>
    <w:basedOn w:val="a"/>
    <w:link w:val="a4"/>
    <w:rsid w:val="00165A4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Cambria" w:eastAsia="Cambria" w:hAnsi="Cambria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1139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2012-11-14T13:33:00Z</cp:lastPrinted>
  <dcterms:created xsi:type="dcterms:W3CDTF">2012-08-23T09:15:00Z</dcterms:created>
  <dcterms:modified xsi:type="dcterms:W3CDTF">2012-11-14T13:34:00Z</dcterms:modified>
</cp:coreProperties>
</file>