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4B" w:rsidRDefault="007D384B" w:rsidP="007D384B">
      <w:pPr>
        <w:pStyle w:val="nav7"/>
      </w:pPr>
      <w:r>
        <w:t xml:space="preserve">Развитие движений пальцев и кисти ребёнка </w:t>
      </w:r>
      <w:r>
        <w:br/>
        <w:t>как один из методов развития речи</w:t>
      </w:r>
      <w:r>
        <w:br/>
      </w:r>
      <w:r>
        <w:br/>
      </w:r>
      <w:r>
        <w:rPr>
          <w:b/>
          <w:bCs/>
        </w:rPr>
        <w:t>Развитие графических навыков у детей 5-6 лет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/>
        <w:t>Вашему ребенку 5 лет. Скоро он отправится в школу. Для того</w:t>
      </w:r>
      <w:proofErr w:type="gramStart"/>
      <w:r>
        <w:rPr>
          <w:color w:val="000080"/>
          <w:sz w:val="20"/>
          <w:szCs w:val="20"/>
        </w:rPr>
        <w:t>,</w:t>
      </w:r>
      <w:proofErr w:type="gramEnd"/>
      <w:r>
        <w:rPr>
          <w:color w:val="000080"/>
          <w:sz w:val="20"/>
          <w:szCs w:val="20"/>
        </w:rPr>
        <w:t xml:space="preserve"> чтобы продолжить подготовку его руки к письму, предлагаю задания по формированию графических навыков. Но прежде, чем приступить к занятиям, ознакомьтесь с методическими рекомендациями: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на первом занятии научите ребенка ориентироваться в тетради (тетрадь с крупной клеткой), ребенок должен показывать правый верхний и правый нижний углы, левый верхний и левый нижний углы, середину тетради в крупную клетку; 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фломастер можно применять только на первых занятиях, а затем - только ручку; 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расстояние между строчками при письме должно быть равно двум клеточкам, а между элементами оно может быть разным; 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количество заполняемых строчек зависит от возможностей детей; 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образец следует давать в тетрадях, объяснять детально; 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сначала ребенок должен пальцем воспроизвести рисунок на столе, после чего обратным концом ручки обвести образец в тетради.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>Эти задания помогут научить ребенка: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ориентироваться в тетради в крупную клетку;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рисовать прямые линии, квадраты по точкам и без них;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рисовать косые линии по точкам и без них, штриховать;</w:t>
      </w:r>
    </w:p>
    <w:p w:rsidR="007D384B" w:rsidRDefault="007D384B" w:rsidP="007D384B">
      <w:pPr>
        <w:spacing w:after="240"/>
        <w:rPr>
          <w:color w:val="000080"/>
          <w:sz w:val="20"/>
          <w:szCs w:val="20"/>
        </w:rPr>
      </w:pPr>
      <w:r>
        <w:rPr>
          <w:rFonts w:hAnsi="Symbol"/>
          <w:color w:val="000080"/>
          <w:sz w:val="20"/>
          <w:szCs w:val="20"/>
        </w:rPr>
        <w:t></w:t>
      </w:r>
      <w:r>
        <w:rPr>
          <w:color w:val="000080"/>
          <w:sz w:val="20"/>
          <w:szCs w:val="20"/>
        </w:rPr>
        <w:t xml:space="preserve">  рисовать дуги, овалы по точкам и без них.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Ниже приводится практический материал по обучению детей графическим навыкам и зрительные диктанты. </w:t>
      </w:r>
      <w:r>
        <w:rPr>
          <w:color w:val="000080"/>
          <w:sz w:val="20"/>
          <w:szCs w:val="20"/>
        </w:rPr>
        <w:br/>
      </w:r>
    </w:p>
    <w:p w:rsidR="007D384B" w:rsidRDefault="007D384B" w:rsidP="007D384B">
      <w:pPr>
        <w:pStyle w:val="nav7"/>
      </w:pPr>
      <w:r>
        <w:rPr>
          <w:b/>
          <w:bCs/>
        </w:rPr>
        <w:t>ПЕРВЫЙ ЭТАП</w:t>
      </w: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  <w:r>
        <w:rPr>
          <w:b/>
          <w:bCs/>
          <w:color w:val="000080"/>
          <w:sz w:val="20"/>
          <w:szCs w:val="20"/>
        </w:rPr>
        <w:t>Первая стадия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Дети на занятиях должны научиться работать фломастером. 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1. Проводить линии по точкам сверху вниз.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" name="Рисунок 1" descr="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Проводить линии от одной опорной точки до другой, сверху вниз.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2" name="Рисунок 2" descr="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Самостоятельно проводить вертикальные линии в одной клетке по образцу.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3" name="Рисунок 3" descr="p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2. Проводить линии по точкам слева направо в одной клетке, пропуская две клетки.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4" name="Рисунок 4" descr="p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Проводить горизонтальные линии от одной точки до другой.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1714500" cy="552450"/>
            <wp:effectExtent l="19050" t="0" r="0" b="0"/>
            <wp:docPr id="5" name="Рисунок 5" descr="p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>Самостоятельно проводить линии слева направо в одной клетке по образцу (</w:t>
      </w:r>
      <w:r>
        <w:rPr>
          <w:i/>
          <w:iCs/>
          <w:color w:val="000080"/>
          <w:sz w:val="20"/>
          <w:szCs w:val="20"/>
        </w:rPr>
        <w:t>количество строчек не ограничено</w:t>
      </w:r>
      <w:r>
        <w:rPr>
          <w:color w:val="000080"/>
          <w:sz w:val="20"/>
          <w:szCs w:val="20"/>
        </w:rPr>
        <w:t xml:space="preserve">).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6" name="Рисунок 6" descr="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3. Рисовать уголки по поставленным точкам, пропуская между уголками две клетки.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7" name="Рисунок 7" descr="p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Нарисовать уголок по опорным точкам.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8" name="Рисунок 8" descr="p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Самостоятельно нарисовать уголок по образцу.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9" name="Рисунок 9" descr="p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4. Нарисовать бордюр, состоящий из вертикальных и горизонтальных линий, не отрывая фломастер от листа.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0" name="Рисунок 10" descr="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5. Нарисовать вертикальные палочки в двух клетках.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1" name="Рисунок 11" descr="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Нарисовать горизонтальные линии в двух клетках.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2" name="Рисунок 12" descr="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Нарисовать вертикальные и горизонтальные линии по образцу.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3" name="Рисунок 13" descr="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6. Нарисовать квадраты по точкам, пропуская две клетки.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4" name="Рисунок 14" descr="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Самостоятельно нарисовать квадраты.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1714500" cy="552450"/>
            <wp:effectExtent l="19050" t="0" r="0" b="0"/>
            <wp:docPr id="15" name="Рисунок 15" descr="p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  <w:t xml:space="preserve">7. Соединять квадраты, не отрывая фломастер от рисунка. </w:t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952500" cy="952500"/>
            <wp:effectExtent l="19050" t="0" r="0" b="0"/>
            <wp:docPr id="16" name="Рисунок 16" descr="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P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</w:t>
      </w:r>
      <w:r>
        <w:rPr>
          <w:b/>
          <w:bCs/>
          <w:color w:val="000080"/>
          <w:sz w:val="20"/>
          <w:szCs w:val="20"/>
        </w:rPr>
        <w:t>Вторая стад</w:t>
      </w:r>
      <w:r w:rsidRPr="007D384B">
        <w:rPr>
          <w:b/>
          <w:bCs/>
          <w:color w:val="000080"/>
          <w:sz w:val="20"/>
          <w:szCs w:val="20"/>
        </w:rPr>
        <w:t>и</w:t>
      </w:r>
      <w:r>
        <w:rPr>
          <w:b/>
          <w:bCs/>
          <w:color w:val="000080"/>
          <w:sz w:val="20"/>
          <w:szCs w:val="20"/>
        </w:rPr>
        <w:t>я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4095750" cy="7620000"/>
            <wp:effectExtent l="19050" t="0" r="0" b="0"/>
            <wp:docPr id="17" name="Рисунок 17" descr="p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b/>
          <w:bCs/>
          <w:color w:val="000080"/>
          <w:sz w:val="20"/>
          <w:szCs w:val="20"/>
        </w:rPr>
      </w:pPr>
    </w:p>
    <w:p w:rsidR="007D384B" w:rsidRDefault="007D384B" w:rsidP="007D384B">
      <w:r>
        <w:rPr>
          <w:b/>
          <w:bCs/>
        </w:rPr>
        <w:t>Третья стадия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4572000" cy="8572500"/>
            <wp:effectExtent l="19050" t="0" r="0" b="0"/>
            <wp:docPr id="18" name="Рисунок 18" descr="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b/>
          <w:bCs/>
        </w:rPr>
        <w:t>Зрительные диктанты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>
            <wp:extent cx="2667000" cy="4572000"/>
            <wp:effectExtent l="19050" t="0" r="0" b="0"/>
            <wp:docPr id="19" name="Рисунок 19" descr="p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4B" w:rsidRDefault="007D384B" w:rsidP="007D384B"/>
    <w:p w:rsidR="007D384B" w:rsidRDefault="007D384B" w:rsidP="007D384B"/>
    <w:p w:rsidR="007D384B" w:rsidRDefault="007D384B" w:rsidP="007D384B"/>
    <w:p w:rsidR="007D384B" w:rsidRDefault="007D384B" w:rsidP="007D384B"/>
    <w:p w:rsidR="007D384B" w:rsidRDefault="007D384B" w:rsidP="007D384B"/>
    <w:p w:rsidR="007D384B" w:rsidRDefault="007D384B" w:rsidP="007D384B"/>
    <w:p w:rsidR="007D384B" w:rsidRDefault="007D384B" w:rsidP="007D384B"/>
    <w:p w:rsidR="007D384B" w:rsidRDefault="007D384B" w:rsidP="007D384B">
      <w:pPr>
        <w:rPr>
          <w:b/>
          <w:bCs/>
        </w:rPr>
      </w:pPr>
      <w:r>
        <w:t xml:space="preserve">                                                         </w:t>
      </w:r>
      <w:r>
        <w:rPr>
          <w:b/>
          <w:bCs/>
        </w:rPr>
        <w:t>ВТОРОЙ ЭТАП</w:t>
      </w:r>
    </w:p>
    <w:p w:rsidR="007D384B" w:rsidRDefault="007D384B" w:rsidP="007D384B">
      <w:pPr>
        <w:rPr>
          <w:b/>
          <w:bCs/>
        </w:rPr>
      </w:pPr>
    </w:p>
    <w:p w:rsidR="007D384B" w:rsidRDefault="007D384B" w:rsidP="007D384B">
      <w:pPr>
        <w:rPr>
          <w:b/>
          <w:bCs/>
        </w:rPr>
      </w:pPr>
    </w:p>
    <w:p w:rsidR="007D384B" w:rsidRPr="00F16C62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Задания помогут детям освоить написание наклонных линий, штриховку фигур косыми линиями. На втором этапе не используйте тетрадь в крупную клетку, возьмите обычную школьную тетрадь в клеточку. 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  <w:r>
        <w:rPr>
          <w:b/>
          <w:bCs/>
          <w:color w:val="000080"/>
          <w:sz w:val="20"/>
          <w:szCs w:val="20"/>
        </w:rPr>
        <w:t>Первая стадия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4381500" cy="5143500"/>
            <wp:effectExtent l="19050" t="0" r="0" b="0"/>
            <wp:docPr id="20" name="Рисунок 20" descr="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4381500" cy="5143500"/>
            <wp:effectExtent l="19050" t="0" r="0" b="0"/>
            <wp:docPr id="21" name="Рисунок 21" descr="p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P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Pr="00F16C62" w:rsidRDefault="007D384B" w:rsidP="007D384B">
      <w:pPr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Вторая стадия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4762500" cy="7620000"/>
            <wp:effectExtent l="19050" t="0" r="0" b="0"/>
            <wp:docPr id="22" name="Рисунок 22" descr="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4762500" cy="7620000"/>
            <wp:effectExtent l="19050" t="0" r="0" b="0"/>
            <wp:docPr id="23" name="Рисунок 23" descr="p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4B" w:rsidRDefault="007D384B" w:rsidP="007D384B">
      <w:pPr>
        <w:pStyle w:val="nav7"/>
      </w:pPr>
      <w:r>
        <w:rPr>
          <w:b/>
          <w:bCs/>
        </w:rPr>
        <w:t>ТРЕТИЙ ЭТАП</w:t>
      </w:r>
    </w:p>
    <w:p w:rsidR="007D384B" w:rsidRDefault="007D384B" w:rsidP="007D384B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Продолжаем знакомство с упражнениями, помогающими вырабатывать </w:t>
      </w:r>
      <w:proofErr w:type="spellStart"/>
      <w:r>
        <w:rPr>
          <w:color w:val="000080"/>
          <w:sz w:val="20"/>
          <w:szCs w:val="20"/>
        </w:rPr>
        <w:t>граические</w:t>
      </w:r>
      <w:proofErr w:type="spellEnd"/>
      <w:r>
        <w:rPr>
          <w:color w:val="000080"/>
          <w:sz w:val="20"/>
          <w:szCs w:val="20"/>
        </w:rPr>
        <w:t xml:space="preserve"> навыки </w:t>
      </w:r>
      <w:proofErr w:type="spellStart"/>
      <w:proofErr w:type="gramStart"/>
      <w:r>
        <w:rPr>
          <w:color w:val="000080"/>
          <w:sz w:val="20"/>
          <w:szCs w:val="20"/>
        </w:rPr>
        <w:t>пяти-шестилетних</w:t>
      </w:r>
      <w:proofErr w:type="spellEnd"/>
      <w:proofErr w:type="gramEnd"/>
      <w:r>
        <w:rPr>
          <w:color w:val="000080"/>
          <w:sz w:val="20"/>
          <w:szCs w:val="20"/>
        </w:rPr>
        <w:t xml:space="preserve"> детей. На третьем этапе ребенок будет учиться рисовать круги, полуовалы, овалы, петельки. Так же, как и на втором этапе, используется обычная тетрадь в клеточку. 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4762500" cy="8096250"/>
            <wp:effectExtent l="19050" t="0" r="0" b="0"/>
            <wp:docPr id="24" name="Рисунок 24" descr="p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5048250" cy="7429500"/>
            <wp:effectExtent l="19050" t="0" r="0" b="0"/>
            <wp:docPr id="25" name="Рисунок 25" descr="p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5048250" cy="6858000"/>
            <wp:effectExtent l="19050" t="0" r="0" b="0"/>
            <wp:docPr id="26" name="Рисунок 26" descr="p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</w:p>
    <w:p w:rsidR="007D384B" w:rsidRDefault="007D384B" w:rsidP="007D384B">
      <w:pPr>
        <w:rPr>
          <w:color w:val="000080"/>
          <w:sz w:val="20"/>
          <w:szCs w:val="20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  <w:r>
        <w:rPr>
          <w:b/>
          <w:bCs/>
          <w:color w:val="000080"/>
          <w:sz w:val="20"/>
          <w:szCs w:val="20"/>
        </w:rPr>
        <w:lastRenderedPageBreak/>
        <w:t>Зрительные диктанты</w:t>
      </w:r>
      <w:r>
        <w:rPr>
          <w:color w:val="000080"/>
          <w:sz w:val="20"/>
          <w:szCs w:val="20"/>
        </w:rPr>
        <w:br/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</w:rPr>
        <w:drawing>
          <wp:inline distT="0" distB="0" distL="0" distR="0">
            <wp:extent cx="2667000" cy="4572000"/>
            <wp:effectExtent l="19050" t="0" r="0" b="0"/>
            <wp:docPr id="27" name="Рисунок 27" descr="p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D384B" w:rsidRDefault="007D384B" w:rsidP="007D384B">
      <w:pPr>
        <w:rPr>
          <w:color w:val="000080"/>
          <w:sz w:val="20"/>
          <w:szCs w:val="20"/>
          <w:lang w:val="en-US"/>
        </w:rPr>
      </w:pPr>
    </w:p>
    <w:p w:rsidR="007C5B8C" w:rsidRPr="007D384B" w:rsidRDefault="007C5B8C">
      <w:pPr>
        <w:rPr>
          <w:lang w:val="en-US"/>
        </w:rPr>
      </w:pPr>
    </w:p>
    <w:sectPr w:rsidR="007C5B8C" w:rsidRPr="007D384B" w:rsidSect="007D38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84B"/>
    <w:rsid w:val="00566001"/>
    <w:rsid w:val="007C5B8C"/>
    <w:rsid w:val="007D384B"/>
    <w:rsid w:val="0089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7">
    <w:name w:val="nav7"/>
    <w:basedOn w:val="a"/>
    <w:rsid w:val="007D384B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D3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497</Words>
  <Characters>2834</Characters>
  <Application>Microsoft Office Word</Application>
  <DocSecurity>0</DocSecurity>
  <Lines>23</Lines>
  <Paragraphs>6</Paragraphs>
  <ScaleCrop>false</ScaleCrop>
  <Company>Hewlett-Packard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2014-09-04T10:25:00Z</dcterms:created>
  <dcterms:modified xsi:type="dcterms:W3CDTF">2014-09-04T10:39:00Z</dcterms:modified>
</cp:coreProperties>
</file>