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53" w:rsidRDefault="00263653" w:rsidP="0026365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  <w:r w:rsidRPr="00263653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6.1pt;height:39.8pt" fillcolor="#c00000" strokecolor="#c00000">
            <v:shadow color="#868686"/>
            <v:textpath style="font-family:&quot;Arial Black&quot;" fitshape="t" trim="t" string="Что такое сенсорика &#10;и почему так важно ее развивать?"/>
          </v:shape>
        </w:pict>
      </w:r>
    </w:p>
    <w:p w:rsidR="00263653" w:rsidRPr="00263653" w:rsidRDefault="00263653" w:rsidP="00F41D8B">
      <w:pPr>
        <w:spacing w:after="0"/>
        <w:rPr>
          <w:rFonts w:ascii="Tahoma" w:eastAsia="Times New Roman" w:hAnsi="Tahoma" w:cs="Tahoma"/>
          <w:sz w:val="28"/>
          <w:szCs w:val="28"/>
          <w:lang w:eastAsia="ru-RU"/>
        </w:rPr>
      </w:pPr>
      <w:r w:rsidRPr="00263653">
        <w:rPr>
          <w:rFonts w:ascii="Tahoma" w:eastAsia="Times New Roman" w:hAnsi="Tahoma" w:cs="Tahoma"/>
          <w:sz w:val="28"/>
          <w:szCs w:val="28"/>
          <w:lang w:eastAsia="ru-RU"/>
        </w:rPr>
        <w:t>Развитие органов чувств у детей 0-3 лет идет очень интенсивно. Главной составляющей полноценного развития детей в раннем возрасте является сенсорное развитие.</w:t>
      </w:r>
    </w:p>
    <w:p w:rsidR="00263653" w:rsidRPr="00E00404" w:rsidRDefault="00263653" w:rsidP="00263653">
      <w:pPr>
        <w:spacing w:after="100" w:afterAutospacing="1"/>
        <w:rPr>
          <w:rFonts w:ascii="Tahoma" w:eastAsia="Times New Roman" w:hAnsi="Tahoma" w:cs="Tahoma"/>
          <w:sz w:val="28"/>
          <w:szCs w:val="28"/>
          <w:lang w:eastAsia="ru-RU"/>
        </w:rPr>
      </w:pPr>
      <w:r w:rsidRPr="00263653">
        <w:rPr>
          <w:rFonts w:ascii="Tahoma" w:eastAsia="Times New Roman" w:hAnsi="Tahoma" w:cs="Tahoma"/>
          <w:sz w:val="28"/>
          <w:szCs w:val="28"/>
          <w:lang w:eastAsia="ru-RU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  <w:r w:rsidRPr="00E00404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263653">
        <w:rPr>
          <w:rFonts w:ascii="Tahoma" w:eastAsia="Times New Roman" w:hAnsi="Tahoma" w:cs="Tahoma"/>
          <w:sz w:val="28"/>
          <w:szCs w:val="28"/>
          <w:lang w:eastAsia="ru-RU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263653" w:rsidRPr="00E00404" w:rsidRDefault="00684243" w:rsidP="00263653">
      <w:pPr>
        <w:spacing w:after="300" w:line="360" w:lineRule="atLeast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r w:rsidRPr="00E0040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6" type="#_x0000_t140" style="width:468pt;height:32.2pt" fillcolor="#c00000" strokecolor="#c00000">
            <v:shadow color="#868686"/>
            <v:textpath style="font-family:&quot;Times New Roman&quot;;v-text-kern:t" trim="t" fitpath="t" string="Значение сенсорного воспитания состоит в том, что оно:"/>
          </v:shape>
        </w:pic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t>- является основой для интеллектуального развития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развивает наблюдательность;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позитивно влияет на эстетическое чувство;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является основой для развития воображения;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развивает внимание;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дает ребенку возможность овладеть новыми способами предметно-познавательной деятельности;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обеспечивает освоение навыков учебной деятельности;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влияет на расширение словарного запаса ребенка;</w:t>
      </w:r>
      <w:r w:rsidR="00263653" w:rsidRPr="00263653">
        <w:rPr>
          <w:rFonts w:ascii="Tahoma" w:eastAsia="Times New Roman" w:hAnsi="Tahoma" w:cs="Tahoma"/>
          <w:sz w:val="28"/>
          <w:szCs w:val="28"/>
          <w:lang w:eastAsia="ru-RU"/>
        </w:rPr>
        <w:br/>
        <w:t>- влияет на развитие зрительной, слуховой, моторной, образной и др. видов памяти.</w:t>
      </w:r>
    </w:p>
    <w:p w:rsidR="00263653" w:rsidRDefault="00F41D8B" w:rsidP="00F41D8B">
      <w:pPr>
        <w:spacing w:after="300" w:line="360" w:lineRule="atLeast"/>
        <w:jc w:val="right"/>
        <w:outlineLvl w:val="0"/>
        <w:rPr>
          <w:rFonts w:ascii="Tahoma" w:eastAsia="Times New Roman" w:hAnsi="Tahoma" w:cs="Tahoma"/>
          <w:b/>
          <w:bCs/>
          <w:color w:val="FF6717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FF6717"/>
          <w:kern w:val="36"/>
          <w:sz w:val="27"/>
          <w:szCs w:val="27"/>
          <w:lang w:eastAsia="ru-RU"/>
        </w:rPr>
        <w:drawing>
          <wp:inline distT="0" distB="0" distL="0" distR="0">
            <wp:extent cx="5001877" cy="2295525"/>
            <wp:effectExtent l="19050" t="0" r="8273" b="0"/>
            <wp:docPr id="17" name="Рисунок 15" descr="72370653_ba8186637de4c1a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370653_ba8186637de4c1aff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877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53" w:rsidRDefault="00263653" w:rsidP="00263653">
      <w:pPr>
        <w:spacing w:after="300" w:line="360" w:lineRule="atLeast"/>
        <w:outlineLvl w:val="0"/>
        <w:rPr>
          <w:rFonts w:ascii="Tahoma" w:eastAsia="Times New Roman" w:hAnsi="Tahoma" w:cs="Tahoma"/>
          <w:b/>
          <w:bCs/>
          <w:color w:val="FF6717"/>
          <w:kern w:val="36"/>
          <w:sz w:val="27"/>
          <w:szCs w:val="27"/>
          <w:lang w:eastAsia="ru-RU"/>
        </w:rPr>
      </w:pPr>
    </w:p>
    <w:p w:rsidR="00445033" w:rsidRDefault="00E00404" w:rsidP="00445033">
      <w:pPr>
        <w:spacing w:before="300" w:after="120" w:line="240" w:lineRule="auto"/>
        <w:jc w:val="center"/>
        <w:outlineLvl w:val="2"/>
        <w:rPr>
          <w:rFonts w:ascii="Tahoma" w:eastAsia="Times New Roman" w:hAnsi="Tahoma" w:cs="Tahoma"/>
          <w:b/>
          <w:bCs/>
          <w:color w:val="FF6717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FF6717"/>
          <w:kern w:val="36"/>
          <w:sz w:val="27"/>
          <w:szCs w:val="27"/>
          <w:lang w:eastAsia="ru-RU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85.05pt;height:51.15pt" fillcolor="#fabf8f [1945]" strokecolor="#e36c0a [2409]" strokeweight="1pt">
            <v:shadow on="t" color="#009" offset="7pt,-7pt"/>
            <v:textpath style="font-family:&quot;Impact&quot;;v-text-spacing:52429f;v-text-kern:t" trim="t" fitpath="t" xscale="f" string="Развивающие игры"/>
          </v:shape>
        </w:pict>
      </w:r>
    </w:p>
    <w:p w:rsidR="00263653" w:rsidRPr="00263653" w:rsidRDefault="00263653" w:rsidP="00445033">
      <w:pPr>
        <w:spacing w:before="300" w:after="120" w:line="240" w:lineRule="auto"/>
        <w:jc w:val="center"/>
        <w:outlineLvl w:val="2"/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</w:pPr>
      <w:r w:rsidRPr="00263653"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  <w:t>Абаки</w:t>
      </w:r>
    </w:p>
    <w:p w:rsidR="00E00404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DD274A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047750"/>
            <wp:effectExtent l="19050" t="0" r="0" b="0"/>
            <wp:wrapSquare wrapText="bothSides"/>
            <wp:docPr id="11" name="Рисунок 2" descr="А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ба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"Абак" в переводе с арабского означает "счетный столик".</w:t>
      </w:r>
      <w:proofErr w:type="gram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 Современные счетные столики - это подставочки, на которых закреплены в ряд несколько вертикальных стержней. На них нанизываются кольца, шарики, другие мелкие предметы, которые можно сортировать по цвету, размеру, форме</w:t>
      </w:r>
      <w:r w:rsidR="00E00404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Такой счетный столик поможет трехлетнему малышу освоить математические понятия, а </w:t>
      </w:r>
      <w:proofErr w:type="spellStart"/>
      <w:proofErr w:type="gram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пяти-шестилетнему</w:t>
      </w:r>
      <w:proofErr w:type="spellEnd"/>
      <w:proofErr w:type="gram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 - закрепить их.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Абаки могут быть выполнены в виде </w:t>
      </w:r>
      <w:proofErr w:type="spell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каталочек</w:t>
      </w:r>
      <w:proofErr w:type="spell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, паровозиков, фигурок, иметь в своем составе от трех-четырех до нескольких десятков счетных элементов. Такое разнообразие абаков позволяет подобрать игрушку индивидуально каждому ребенку.</w:t>
      </w:r>
    </w:p>
    <w:p w:rsidR="00263653" w:rsidRPr="00263653" w:rsidRDefault="00263653" w:rsidP="00263653">
      <w:pPr>
        <w:spacing w:before="300" w:after="120" w:line="240" w:lineRule="auto"/>
        <w:outlineLvl w:val="2"/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</w:pPr>
      <w:r w:rsidRPr="00263653"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  <w:t>Вкладыши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DD274A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38275"/>
            <wp:effectExtent l="19050" t="0" r="0" b="0"/>
            <wp:wrapSquare wrapText="bothSides"/>
            <wp:docPr id="3" name="Рисунок 3" descr="Вкладыши в рам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кладыши в рам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Вкладыши - это небольшие предметы, которые необходимо вложить в соответствующие отверстия. Игры-вкладыши подразделяются на три вида: вкладыши в рамку, вкладыши в основание и вкладыши один в другой. Все вкладыши совершенствуют зрительное и тактильное восприятие формы, размера предметов, развивают мелкую моторику, координацию движений рук.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lang w:eastAsia="ru-RU"/>
        </w:rPr>
      </w:pPr>
    </w:p>
    <w:p w:rsidR="00445033" w:rsidRPr="00445033" w:rsidRDefault="00263653" w:rsidP="00263653">
      <w:pPr>
        <w:spacing w:after="60" w:line="231" w:lineRule="atLeast"/>
        <w:rPr>
          <w:rFonts w:ascii="Tahoma" w:eastAsia="Times New Roman" w:hAnsi="Tahoma" w:cs="Tahoma"/>
          <w:b/>
          <w:i/>
          <w:color w:val="E36C0A" w:themeColor="accent6" w:themeShade="BF"/>
          <w:sz w:val="32"/>
          <w:szCs w:val="32"/>
          <w:lang w:eastAsia="ru-RU"/>
        </w:rPr>
      </w:pPr>
      <w:r w:rsidRPr="00445033">
        <w:rPr>
          <w:rFonts w:ascii="Tahoma" w:eastAsia="Times New Roman" w:hAnsi="Tahoma" w:cs="Tahoma"/>
          <w:b/>
          <w:i/>
          <w:noProof/>
          <w:color w:val="E36C0A" w:themeColor="accent6" w:themeShade="BF"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5" name="Рисунок 5" descr="Вкладыши один в дру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кладыши один в друг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5033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>Вкладыши в основание</w:t>
      </w:r>
      <w:r w:rsidRPr="00263653">
        <w:rPr>
          <w:rFonts w:ascii="Tahoma" w:eastAsia="Times New Roman" w:hAnsi="Tahoma" w:cs="Tahoma"/>
          <w:b/>
          <w:i/>
          <w:color w:val="E36C0A" w:themeColor="accent6" w:themeShade="BF"/>
          <w:sz w:val="32"/>
          <w:szCs w:val="32"/>
          <w:lang w:eastAsia="ru-RU"/>
        </w:rPr>
        <w:t xml:space="preserve">. </w:t>
      </w:r>
    </w:p>
    <w:p w:rsidR="0044503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Это набор предметов определенной формы (цилиндрики, другие различные фигурки), которые малыш должен научиться вставлять в углубление на подставочке (основании) или надевать на специальные штырьки.</w:t>
      </w:r>
    </w:p>
    <w:p w:rsidR="00DD274A" w:rsidRDefault="00263653" w:rsidP="00263653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lang w:eastAsia="ru-RU"/>
        </w:rPr>
      </w:pPr>
      <w:r w:rsidRPr="00445033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>Вкладыши один в другой</w:t>
      </w:r>
      <w:r w:rsidRPr="00263653">
        <w:rPr>
          <w:rFonts w:ascii="Tahoma" w:eastAsia="Times New Roman" w:hAnsi="Tahoma" w:cs="Tahoma"/>
          <w:b/>
          <w:i/>
          <w:color w:val="E36C0A" w:themeColor="accent6" w:themeShade="BF"/>
          <w:sz w:val="32"/>
          <w:szCs w:val="32"/>
          <w:lang w:eastAsia="ru-RU"/>
        </w:rPr>
        <w:t>.</w:t>
      </w:r>
      <w:r w:rsidRPr="00263653">
        <w:rPr>
          <w:rFonts w:ascii="Tahoma" w:eastAsia="Times New Roman" w:hAnsi="Tahoma" w:cs="Tahoma"/>
          <w:color w:val="5C5C5C"/>
          <w:sz w:val="17"/>
          <w:szCs w:val="17"/>
          <w:lang w:eastAsia="ru-RU"/>
        </w:rPr>
        <w:t xml:space="preserve"> 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Это и традиционная русская матрешка, и множество других подобных игрушек. </w:t>
      </w:r>
    </w:p>
    <w:p w:rsidR="00263653" w:rsidRPr="00263653" w:rsidRDefault="00263653" w:rsidP="00263653">
      <w:pPr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6717"/>
          <w:sz w:val="40"/>
          <w:szCs w:val="40"/>
          <w:lang w:eastAsia="ru-RU"/>
        </w:rPr>
      </w:pPr>
      <w:r w:rsidRPr="00263653"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  <w:t>Пирамиды</w:t>
      </w:r>
    </w:p>
    <w:p w:rsidR="00DD274A" w:rsidRDefault="00263653" w:rsidP="00E00404">
      <w:pPr>
        <w:spacing w:after="60" w:line="231" w:lineRule="atLeast"/>
        <w:rPr>
          <w:rFonts w:ascii="Tahoma" w:eastAsia="Times New Roman" w:hAnsi="Tahoma" w:cs="Tahoma"/>
          <w:b/>
          <w:bCs/>
          <w:color w:val="FF6717"/>
          <w:sz w:val="48"/>
          <w:szCs w:val="48"/>
          <w:lang w:eastAsia="ru-RU"/>
        </w:rPr>
      </w:pPr>
      <w:r w:rsidRPr="00DD274A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28800" cy="1905000"/>
            <wp:effectExtent l="19050" t="0" r="0" b="0"/>
            <wp:wrapSquare wrapText="bothSides"/>
            <wp:docPr id="6" name="Рисунок 6" descr="Пирам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рамид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Эта традиционная игрушка в настоящее время имеет множество вариантов: пирамиды могут состоять из нескольких крупных колец и более десятка мелких колечек, быть одноцветными и разноцветными, иметь конусообразную и шарообразную формы, представлять собой башенки, мельницы, человечков, животных. </w:t>
      </w:r>
    </w:p>
    <w:p w:rsidR="0095323D" w:rsidRPr="00263653" w:rsidRDefault="0095323D" w:rsidP="0095323D">
      <w:pPr>
        <w:spacing w:before="300" w:after="120" w:line="240" w:lineRule="auto"/>
        <w:outlineLvl w:val="2"/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</w:pPr>
      <w:r w:rsidRPr="00263653"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  <w:lastRenderedPageBreak/>
        <w:t>Игры-тренажеры</w:t>
      </w:r>
    </w:p>
    <w:p w:rsidR="0095323D" w:rsidRDefault="0095323D" w:rsidP="0095323D">
      <w:pPr>
        <w:spacing w:after="60" w:line="240" w:lineRule="auto"/>
        <w:rPr>
          <w:rFonts w:ascii="Tahoma" w:eastAsia="Times New Roman" w:hAnsi="Tahoma" w:cs="Tahoma"/>
          <w:color w:val="5C5C5C"/>
          <w:sz w:val="17"/>
          <w:lang w:eastAsia="ru-RU"/>
        </w:rPr>
      </w:pPr>
      <w:r w:rsidRPr="00DD274A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-3810</wp:posOffset>
            </wp:positionV>
            <wp:extent cx="1695450" cy="1800225"/>
            <wp:effectExtent l="19050" t="0" r="0" b="0"/>
            <wp:wrapSquare wrapText="bothSides"/>
            <wp:docPr id="27" name="Рисунок 10" descr="Игры-тренаж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-тренаже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Данное название, без сомнения, может относиться к любому типу развивающих игр, поскольку все они тренируют определенные навыки ребенка. Однако игры, наиболее стимулирующие развитие каких-либо умений и навыков, справедливо называются тренажерами. </w:t>
      </w:r>
      <w:r w:rsidRPr="00DD274A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>Тренажеры сенсорно-двигательные</w:t>
      </w:r>
      <w:r w:rsidRPr="00263653">
        <w:rPr>
          <w:rFonts w:ascii="Tahoma" w:eastAsia="Times New Roman" w:hAnsi="Tahoma" w:cs="Tahoma"/>
          <w:color w:val="5C5C5C"/>
          <w:sz w:val="17"/>
          <w:lang w:eastAsia="ru-RU"/>
        </w:rPr>
        <w:t> </w:t>
      </w:r>
    </w:p>
    <w:p w:rsidR="0095323D" w:rsidRPr="00263653" w:rsidRDefault="0095323D" w:rsidP="0095323D">
      <w:pPr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развивают сенсорные способности ребенка (восприятие цвета, размеров, формы окружающих предметов), совершенствуют его слуховые и зрительные впечатления. Эти тренажеры стимулируют познавательную активность в изучении свойств самых разных предметов. Так, малыш может вертеть и крутить игрушку (неваляшка, волчок), изменять положение деталей игрушки в пространстве (</w:t>
      </w:r>
      <w:proofErr w:type="spell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дергунчики</w:t>
      </w:r>
      <w:proofErr w:type="spell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), извлекать звуки разными способами - дудеть в дудочки, свистульки, давить на звучащие мячи, трясти трещотки.</w:t>
      </w:r>
    </w:p>
    <w:p w:rsidR="00263653" w:rsidRPr="00263653" w:rsidRDefault="00263653" w:rsidP="00DB6732">
      <w:pPr>
        <w:spacing w:before="300" w:after="120" w:line="240" w:lineRule="auto"/>
        <w:jc w:val="center"/>
        <w:outlineLvl w:val="2"/>
        <w:rPr>
          <w:rFonts w:ascii="Tahoma" w:eastAsia="Times New Roman" w:hAnsi="Tahoma" w:cs="Tahoma"/>
          <w:b/>
          <w:bCs/>
          <w:color w:val="FF6717"/>
          <w:sz w:val="48"/>
          <w:szCs w:val="48"/>
          <w:lang w:eastAsia="ru-RU"/>
        </w:rPr>
      </w:pPr>
      <w:r w:rsidRPr="00263653">
        <w:rPr>
          <w:rFonts w:ascii="Tahoma" w:eastAsia="Times New Roman" w:hAnsi="Tahoma" w:cs="Tahoma"/>
          <w:b/>
          <w:bCs/>
          <w:color w:val="FF6717"/>
          <w:sz w:val="48"/>
          <w:szCs w:val="48"/>
          <w:lang w:eastAsia="ru-RU"/>
        </w:rPr>
        <w:t>Настольные игры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К этому типу игр стоит привлекать внимание малыша с самого раннего возраста. Для детей 1,5-2 лет годятся настольные игры двух видов: разрезные карточк</w:t>
      </w:r>
      <w:proofErr w:type="gram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и-</w:t>
      </w:r>
      <w:proofErr w:type="gram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"лото" с большими яркими рисунками (игры на бумаге) и крупная мозаика с деталями геометрической формы всех основных цветов.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Игры данного типа учат малыша классифицировать предметы по различным признакам - цвету, форме, размеру.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2-3-летним детям будут по силам так называемые </w:t>
      </w:r>
      <w:proofErr w:type="spell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игры-пазлы</w:t>
      </w:r>
      <w:proofErr w:type="spell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, позволяющие собирать забавные картинки из двух, а затем и более деталей.</w:t>
      </w:r>
    </w:p>
    <w:p w:rsidR="00263653" w:rsidRPr="00263653" w:rsidRDefault="00263653" w:rsidP="00DD274A">
      <w:pPr>
        <w:spacing w:after="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Благодаря таким играм малыш приобретает и первые навыки плоскостного конструирования.</w:t>
      </w:r>
    </w:p>
    <w:p w:rsidR="00263653" w:rsidRPr="00263653" w:rsidRDefault="00263653" w:rsidP="00DD274A">
      <w:pPr>
        <w:spacing w:before="300" w:after="0" w:line="240" w:lineRule="auto"/>
        <w:outlineLvl w:val="2"/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</w:pPr>
      <w:r w:rsidRPr="00263653"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  <w:t>Бусы и шнуровки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7B73A4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066800"/>
            <wp:effectExtent l="19050" t="0" r="0" b="0"/>
            <wp:wrapSquare wrapText="bothSides"/>
            <wp:docPr id="7" name="Рисунок 7" descr="Бусы и шну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сы и шнуров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Этот тип развивающих игр стал популярен в наши дни не случайно: проблемы с письмом </w:t>
      </w:r>
      <w:proofErr w:type="gram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возникают</w:t>
      </w:r>
      <w:proofErr w:type="gram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 чуть ли не у каждого первоклассника. Подготовка руки ребенка к письму как залог его успешного обучения в школе всегда была в центре внимания педагогов дошкольного образования. Занятия лепкой, аппликацией, работа в тетрадях - традиционные формы такой подготовки. Но лишь сравнительно недавно, во многом благодаря исследованиям Марии </w:t>
      </w:r>
      <w:proofErr w:type="spell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Монтессори</w:t>
      </w:r>
      <w:proofErr w:type="spell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 по развитию мелкой моторики руки ребенка, пришло понимание того, что рисование узоров и букв в тетрадках - один из последних этапов в развитии руки дошкольника.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Начинать же готовить руку к письму необходимо с самого раннего возраста. И первым помощником здесь становятся бусы и шнуровки. Предлагая малышу для нанизывания на веревочку бусы с дырочками разного диаметра и глубины, вы способствуете постоянному совершенствованию координации системы "глаз-рука", приучаете пальцы рук ребенка совершать точные движения под контролем зрения. В дальнейшем игры этого типа помогут развить подвижность кисти руки ребенка, скоординировать движения обеих рук.</w:t>
      </w:r>
    </w:p>
    <w:p w:rsidR="00263653" w:rsidRPr="00263653" w:rsidRDefault="00263653" w:rsidP="00263653">
      <w:pPr>
        <w:spacing w:before="300" w:after="120" w:line="240" w:lineRule="auto"/>
        <w:outlineLvl w:val="2"/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</w:pPr>
      <w:r w:rsidRPr="00263653">
        <w:rPr>
          <w:rFonts w:ascii="Tahoma" w:eastAsia="Times New Roman" w:hAnsi="Tahoma" w:cs="Tahoma"/>
          <w:b/>
          <w:bCs/>
          <w:color w:val="FF6717"/>
          <w:sz w:val="40"/>
          <w:szCs w:val="40"/>
          <w:lang w:eastAsia="ru-RU"/>
        </w:rPr>
        <w:lastRenderedPageBreak/>
        <w:t>Блоки и конструкторы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DD274A">
        <w:rPr>
          <w:rFonts w:ascii="Tahoma" w:eastAsia="Times New Roman" w:hAnsi="Tahoma" w:cs="Tahoma"/>
          <w:i/>
          <w:noProof/>
          <w:color w:val="E36C0A" w:themeColor="accent6" w:themeShade="BF"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628775"/>
            <wp:effectExtent l="19050" t="0" r="0" b="0"/>
            <wp:wrapSquare wrapText="bothSides"/>
            <wp:docPr id="8" name="Рисунок 8" descr="Настоль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стольные игр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74A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>Блоки и конструкторы строительные</w:t>
      </w:r>
      <w:r w:rsidRPr="00DD274A">
        <w:rPr>
          <w:rFonts w:ascii="Tahoma" w:eastAsia="Times New Roman" w:hAnsi="Tahoma" w:cs="Tahoma"/>
          <w:color w:val="5C5C5C"/>
          <w:sz w:val="24"/>
          <w:szCs w:val="24"/>
          <w:lang w:eastAsia="ru-RU"/>
        </w:rPr>
        <w:t> </w:t>
      </w:r>
      <w:r w:rsidRPr="00263653">
        <w:rPr>
          <w:rFonts w:ascii="Tahoma" w:eastAsia="Times New Roman" w:hAnsi="Tahoma" w:cs="Tahoma"/>
          <w:color w:val="5C5C5C"/>
          <w:sz w:val="24"/>
          <w:szCs w:val="24"/>
          <w:lang w:eastAsia="ru-RU"/>
        </w:rPr>
        <w:t xml:space="preserve">- </w:t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один из основных видов игр данного типа - ставят своей целью обучение ребенка конструированию различных сооружений: горизонтальных, вертикал</w:t>
      </w:r>
      <w:r w:rsidR="008006BF">
        <w:rPr>
          <w:rFonts w:ascii="Tahoma" w:eastAsia="Times New Roman" w:hAnsi="Tahoma" w:cs="Tahoma"/>
          <w:sz w:val="24"/>
          <w:szCs w:val="24"/>
          <w:lang w:eastAsia="ru-RU"/>
        </w:rPr>
        <w:t>ьных, построек замкнутого типа</w:t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  <w:proofErr w:type="gram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Блоки и конструкторы разнообразны по количеству деталей, входящих в набор, их цвету, форме, материалу (дерево, пластмасса, ткань, плотный картон).</w:t>
      </w:r>
      <w:proofErr w:type="gramEnd"/>
    </w:p>
    <w:p w:rsidR="008006BF" w:rsidRDefault="008006BF" w:rsidP="00263653">
      <w:pPr>
        <w:spacing w:after="60" w:line="231" w:lineRule="atLeast"/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</w:pPr>
    </w:p>
    <w:p w:rsidR="008006BF" w:rsidRDefault="00263653" w:rsidP="00263653">
      <w:pPr>
        <w:spacing w:after="60" w:line="231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D274A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 xml:space="preserve">Блоки и </w:t>
      </w:r>
      <w:proofErr w:type="gramStart"/>
      <w:r w:rsidRPr="00DD274A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>конструкторы</w:t>
      </w:r>
      <w:proofErr w:type="gramEnd"/>
      <w:r w:rsidRPr="00DD274A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 xml:space="preserve"> сюжетные</w:t>
      </w:r>
      <w:r w:rsidRPr="00DD274A">
        <w:rPr>
          <w:rFonts w:ascii="Tahoma" w:eastAsia="Times New Roman" w:hAnsi="Tahoma" w:cs="Tahoma"/>
          <w:color w:val="5C5C5C"/>
          <w:sz w:val="24"/>
          <w:szCs w:val="24"/>
          <w:lang w:eastAsia="ru-RU"/>
        </w:rPr>
        <w:t> </w:t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по своему назначению не отличаются от предыдущих. Разница лишь в том, что в этих наборах есть фигурки людей, животных, машинки и другие детали, которые призваны оживить и заселить будущие постройки. Такие конструкторы способствуют развитию активной речи ребенка в процессе ролевой игры.</w:t>
      </w:r>
      <w:r w:rsidR="00DD274A" w:rsidRPr="007B7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E00404" w:rsidRDefault="00DD274A" w:rsidP="00263653">
      <w:pPr>
        <w:spacing w:after="60" w:line="231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B7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E00404" w:rsidRDefault="008006BF" w:rsidP="00263653">
      <w:pPr>
        <w:spacing w:after="60" w:line="231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-384810</wp:posOffset>
            </wp:positionH>
            <wp:positionV relativeFrom="line">
              <wp:posOffset>151130</wp:posOffset>
            </wp:positionV>
            <wp:extent cx="2143125" cy="1718945"/>
            <wp:effectExtent l="19050" t="0" r="9525" b="0"/>
            <wp:wrapSquare wrapText="bothSides"/>
            <wp:docPr id="9" name="Рисунок 9" descr="Блоки и конструкторы логиче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локи и конструкторы логическ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7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263653" w:rsidRDefault="00DD274A" w:rsidP="00263653">
      <w:pPr>
        <w:spacing w:after="60" w:line="231" w:lineRule="atLeast"/>
        <w:rPr>
          <w:rFonts w:ascii="Tahoma" w:eastAsia="Times New Roman" w:hAnsi="Tahoma" w:cs="Tahoma"/>
          <w:color w:val="5C5C5C"/>
          <w:sz w:val="24"/>
          <w:szCs w:val="24"/>
          <w:lang w:eastAsia="ru-RU"/>
        </w:rPr>
      </w:pPr>
      <w:r w:rsidRPr="00DD27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714500"/>
            <wp:effectExtent l="19050" t="0" r="0" b="0"/>
            <wp:docPr id="23" name="Рисунок 1" descr="Блоки и конструкторы сюже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и и конструкторы сюжетны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DD27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1714500"/>
            <wp:effectExtent l="19050" t="0" r="9525" b="0"/>
            <wp:docPr id="24" name="Рисунок 2" descr="Блоки и конструкторы сюже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ки и конструкторы сюжетны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263653" w:rsidRPr="00263653" w:rsidTr="00263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653" w:rsidRPr="00263653" w:rsidRDefault="00263653" w:rsidP="0026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653" w:rsidRDefault="00263653" w:rsidP="0026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74A" w:rsidRDefault="00DD274A" w:rsidP="0026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74A" w:rsidRDefault="00DD274A" w:rsidP="0026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74A" w:rsidRPr="00263653" w:rsidRDefault="00DD274A" w:rsidP="0026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DD274A">
        <w:rPr>
          <w:rFonts w:ascii="Tahoma" w:eastAsia="Times New Roman" w:hAnsi="Tahoma" w:cs="Tahoma"/>
          <w:b/>
          <w:bCs/>
          <w:i/>
          <w:color w:val="E36C0A" w:themeColor="accent6" w:themeShade="BF"/>
          <w:sz w:val="32"/>
          <w:szCs w:val="32"/>
          <w:lang w:eastAsia="ru-RU"/>
        </w:rPr>
        <w:t>Блоки и конструкторы логические</w:t>
      </w:r>
      <w:r w:rsidRPr="00263653">
        <w:rPr>
          <w:rFonts w:ascii="Tahoma" w:eastAsia="Times New Roman" w:hAnsi="Tahoma" w:cs="Tahoma"/>
          <w:color w:val="5C5C5C"/>
          <w:sz w:val="17"/>
          <w:lang w:eastAsia="ru-RU"/>
        </w:rPr>
        <w:t> </w:t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обучают плоскостному конструированию и подразделяются на два вида. Первый вид логических блоков предлагает ребенку составить</w:t>
      </w:r>
      <w:r w:rsidR="00DD274A" w:rsidRPr="007B73A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5323D">
        <w:rPr>
          <w:rFonts w:ascii="Tahoma" w:eastAsia="Times New Roman" w:hAnsi="Tahoma" w:cs="Tahoma"/>
          <w:bCs/>
          <w:sz w:val="24"/>
          <w:szCs w:val="24"/>
          <w:lang w:eastAsia="ru-RU"/>
        </w:rPr>
        <w:t>изображение из нескольких частей</w:t>
      </w: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. Пожалуй, по этому типу игр больше всего авторских разработок. </w:t>
      </w:r>
      <w:proofErr w:type="gram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Это "Квадраты", "Дроби" и "Сложи узор" Никитина, "Радужное лукошко" Даниловой, "</w:t>
      </w:r>
      <w:proofErr w:type="spell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Складушки</w:t>
      </w:r>
      <w:proofErr w:type="spell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" Красноухова.</w:t>
      </w:r>
      <w:proofErr w:type="gram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 Второй вид блоков и конструкторов логических - это наборы всевозможных деталей, которые надо научиться сопоставлять по тем или иным признакам: цвету, форме, размеру, общему внешнему виду.</w:t>
      </w:r>
    </w:p>
    <w:p w:rsidR="00263653" w:rsidRPr="00263653" w:rsidRDefault="00263653" w:rsidP="00263653">
      <w:pPr>
        <w:spacing w:after="60" w:line="23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Умение найти среди нескольких предметов два одинаковых по целому ряду свойств - важнейший этап в умственном развитии ребенка. Детское домино с цветными картинками, блоки </w:t>
      </w:r>
      <w:proofErr w:type="spellStart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>Дьенеша</w:t>
      </w:r>
      <w:proofErr w:type="spellEnd"/>
      <w:r w:rsidRPr="00263653">
        <w:rPr>
          <w:rFonts w:ascii="Tahoma" w:eastAsia="Times New Roman" w:hAnsi="Tahoma" w:cs="Tahoma"/>
          <w:sz w:val="24"/>
          <w:szCs w:val="24"/>
          <w:lang w:eastAsia="ru-RU"/>
        </w:rPr>
        <w:t xml:space="preserve"> (набор геометрических фигур, различающихся по цвету, форме, величине и толщине) - основные в этом виде блоков.</w:t>
      </w:r>
    </w:p>
    <w:p w:rsidR="00DD274A" w:rsidRDefault="00DD274A" w:rsidP="00263653">
      <w:pPr>
        <w:spacing w:before="300" w:after="120" w:line="240" w:lineRule="auto"/>
        <w:outlineLvl w:val="2"/>
        <w:rPr>
          <w:rFonts w:ascii="Tahoma" w:eastAsia="Times New Roman" w:hAnsi="Tahoma" w:cs="Tahoma"/>
          <w:b/>
          <w:bCs/>
          <w:color w:val="FF6717"/>
          <w:sz w:val="18"/>
          <w:szCs w:val="18"/>
          <w:lang w:eastAsia="ru-RU"/>
        </w:rPr>
      </w:pPr>
    </w:p>
    <w:p w:rsidR="000D23CE" w:rsidRDefault="000D23CE" w:rsidP="0095323D">
      <w:pPr>
        <w:spacing w:line="240" w:lineRule="auto"/>
      </w:pPr>
    </w:p>
    <w:sectPr w:rsidR="000D23CE" w:rsidSect="00DD27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63653"/>
    <w:rsid w:val="00005CE7"/>
    <w:rsid w:val="00011D3F"/>
    <w:rsid w:val="000378E4"/>
    <w:rsid w:val="00053056"/>
    <w:rsid w:val="00053823"/>
    <w:rsid w:val="00063585"/>
    <w:rsid w:val="0006719B"/>
    <w:rsid w:val="00076D2E"/>
    <w:rsid w:val="00084608"/>
    <w:rsid w:val="000D0DA1"/>
    <w:rsid w:val="000D23CE"/>
    <w:rsid w:val="000E591C"/>
    <w:rsid w:val="000F73B2"/>
    <w:rsid w:val="0010054F"/>
    <w:rsid w:val="00156F0A"/>
    <w:rsid w:val="00197A14"/>
    <w:rsid w:val="001B3E00"/>
    <w:rsid w:val="001B747A"/>
    <w:rsid w:val="001D13CF"/>
    <w:rsid w:val="001D612D"/>
    <w:rsid w:val="001D67A0"/>
    <w:rsid w:val="002054A5"/>
    <w:rsid w:val="00216D60"/>
    <w:rsid w:val="002266FD"/>
    <w:rsid w:val="00253B1D"/>
    <w:rsid w:val="00263653"/>
    <w:rsid w:val="002765C7"/>
    <w:rsid w:val="00287576"/>
    <w:rsid w:val="002B5363"/>
    <w:rsid w:val="002C180D"/>
    <w:rsid w:val="0035193B"/>
    <w:rsid w:val="003564C1"/>
    <w:rsid w:val="00377487"/>
    <w:rsid w:val="0039601D"/>
    <w:rsid w:val="003976A4"/>
    <w:rsid w:val="003B11F7"/>
    <w:rsid w:val="003D0506"/>
    <w:rsid w:val="003E21ED"/>
    <w:rsid w:val="00445033"/>
    <w:rsid w:val="00455A8B"/>
    <w:rsid w:val="0046676D"/>
    <w:rsid w:val="004D5F2B"/>
    <w:rsid w:val="004F7106"/>
    <w:rsid w:val="005210DC"/>
    <w:rsid w:val="00521ABC"/>
    <w:rsid w:val="00522A0B"/>
    <w:rsid w:val="005B6E0E"/>
    <w:rsid w:val="005D2E5B"/>
    <w:rsid w:val="005E463B"/>
    <w:rsid w:val="005F4737"/>
    <w:rsid w:val="0060483E"/>
    <w:rsid w:val="006049CD"/>
    <w:rsid w:val="0063070F"/>
    <w:rsid w:val="00653803"/>
    <w:rsid w:val="00675D8F"/>
    <w:rsid w:val="00684243"/>
    <w:rsid w:val="00691E41"/>
    <w:rsid w:val="0069603F"/>
    <w:rsid w:val="006B1FA1"/>
    <w:rsid w:val="006B4381"/>
    <w:rsid w:val="006D1D5D"/>
    <w:rsid w:val="0072177C"/>
    <w:rsid w:val="00760445"/>
    <w:rsid w:val="007647DE"/>
    <w:rsid w:val="007B4654"/>
    <w:rsid w:val="007B73A4"/>
    <w:rsid w:val="007D4B18"/>
    <w:rsid w:val="007E0C98"/>
    <w:rsid w:val="008006BF"/>
    <w:rsid w:val="00815845"/>
    <w:rsid w:val="008333B6"/>
    <w:rsid w:val="008519C8"/>
    <w:rsid w:val="00895AC9"/>
    <w:rsid w:val="008A3597"/>
    <w:rsid w:val="008E3A3A"/>
    <w:rsid w:val="00912311"/>
    <w:rsid w:val="00922196"/>
    <w:rsid w:val="0093112B"/>
    <w:rsid w:val="009372D3"/>
    <w:rsid w:val="009518B2"/>
    <w:rsid w:val="0095323D"/>
    <w:rsid w:val="00976F90"/>
    <w:rsid w:val="00987C9F"/>
    <w:rsid w:val="00993525"/>
    <w:rsid w:val="00994718"/>
    <w:rsid w:val="009E6E72"/>
    <w:rsid w:val="00A07874"/>
    <w:rsid w:val="00A33B18"/>
    <w:rsid w:val="00A5353E"/>
    <w:rsid w:val="00A60FB9"/>
    <w:rsid w:val="00A94CF9"/>
    <w:rsid w:val="00A97C0F"/>
    <w:rsid w:val="00AD397C"/>
    <w:rsid w:val="00AD5E36"/>
    <w:rsid w:val="00AE1BBF"/>
    <w:rsid w:val="00AF0721"/>
    <w:rsid w:val="00AF6ADB"/>
    <w:rsid w:val="00B00C41"/>
    <w:rsid w:val="00B07594"/>
    <w:rsid w:val="00B14E27"/>
    <w:rsid w:val="00B171E8"/>
    <w:rsid w:val="00B20CC2"/>
    <w:rsid w:val="00B4270C"/>
    <w:rsid w:val="00B60DE0"/>
    <w:rsid w:val="00B66239"/>
    <w:rsid w:val="00B7038C"/>
    <w:rsid w:val="00B902A4"/>
    <w:rsid w:val="00B90EF3"/>
    <w:rsid w:val="00BB7EF9"/>
    <w:rsid w:val="00C21E59"/>
    <w:rsid w:val="00C26F59"/>
    <w:rsid w:val="00C42F3C"/>
    <w:rsid w:val="00CC3F2D"/>
    <w:rsid w:val="00D769E4"/>
    <w:rsid w:val="00D87F89"/>
    <w:rsid w:val="00DB05DD"/>
    <w:rsid w:val="00DB6732"/>
    <w:rsid w:val="00DC13A3"/>
    <w:rsid w:val="00DC2779"/>
    <w:rsid w:val="00DD11F8"/>
    <w:rsid w:val="00DD274A"/>
    <w:rsid w:val="00DD68BF"/>
    <w:rsid w:val="00E00404"/>
    <w:rsid w:val="00E4178E"/>
    <w:rsid w:val="00E424D4"/>
    <w:rsid w:val="00E4380B"/>
    <w:rsid w:val="00E55D87"/>
    <w:rsid w:val="00E57626"/>
    <w:rsid w:val="00EA0864"/>
    <w:rsid w:val="00EE4911"/>
    <w:rsid w:val="00F02317"/>
    <w:rsid w:val="00F144B2"/>
    <w:rsid w:val="00F37CF6"/>
    <w:rsid w:val="00F41D8B"/>
    <w:rsid w:val="00F4688D"/>
    <w:rsid w:val="00F63F1D"/>
    <w:rsid w:val="00FA00C2"/>
    <w:rsid w:val="00FB6177"/>
    <w:rsid w:val="00FD23DC"/>
    <w:rsid w:val="00FF12FA"/>
    <w:rsid w:val="00FF4037"/>
    <w:rsid w:val="00FF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E"/>
  </w:style>
  <w:style w:type="paragraph" w:styleId="1">
    <w:name w:val="heading 1"/>
    <w:basedOn w:val="a"/>
    <w:link w:val="10"/>
    <w:uiPriority w:val="9"/>
    <w:qFormat/>
    <w:rsid w:val="00263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3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fulltext">
    <w:name w:val="articlefulltext"/>
    <w:basedOn w:val="a0"/>
    <w:rsid w:val="00263653"/>
  </w:style>
  <w:style w:type="paragraph" w:styleId="a3">
    <w:name w:val="Normal (Web)"/>
    <w:basedOn w:val="a"/>
    <w:uiPriority w:val="99"/>
    <w:unhideWhenUsed/>
    <w:rsid w:val="0026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653"/>
    <w:rPr>
      <w:b/>
      <w:bCs/>
    </w:rPr>
  </w:style>
  <w:style w:type="character" w:customStyle="1" w:styleId="apple-converted-space">
    <w:name w:val="apple-converted-space"/>
    <w:basedOn w:val="a0"/>
    <w:rsid w:val="00263653"/>
  </w:style>
  <w:style w:type="character" w:customStyle="1" w:styleId="articleauthor">
    <w:name w:val="articleauthor"/>
    <w:basedOn w:val="a0"/>
    <w:rsid w:val="00263653"/>
  </w:style>
  <w:style w:type="character" w:customStyle="1" w:styleId="articlesource">
    <w:name w:val="articlesource"/>
    <w:basedOn w:val="a0"/>
    <w:rsid w:val="00263653"/>
  </w:style>
  <w:style w:type="character" w:styleId="a5">
    <w:name w:val="Hyperlink"/>
    <w:basedOn w:val="a0"/>
    <w:uiPriority w:val="99"/>
    <w:semiHidden/>
    <w:unhideWhenUsed/>
    <w:rsid w:val="002636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653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F4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4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65F2-A921-4423-AE02-D1C5ACBB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5</cp:revision>
  <dcterms:created xsi:type="dcterms:W3CDTF">2014-02-18T11:10:00Z</dcterms:created>
  <dcterms:modified xsi:type="dcterms:W3CDTF">2014-02-18T13:26:00Z</dcterms:modified>
</cp:coreProperties>
</file>