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CF" w:rsidRDefault="00224FCF" w:rsidP="00224FCF">
      <w:pPr>
        <w:spacing w:before="24" w:after="24" w:line="240" w:lineRule="auto"/>
        <w:ind w:left="24" w:right="24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224FCF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«Развитие мелкой моторики рук, как средство</w:t>
      </w:r>
      <w:r w:rsidRPr="00224FCF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br/>
        <w:t>развития речи у детей с речевыми нарушениями»</w:t>
      </w:r>
    </w:p>
    <w:p w:rsidR="00224FCF" w:rsidRPr="00224FCF" w:rsidRDefault="00224FCF" w:rsidP="00224FCF">
      <w:pPr>
        <w:spacing w:before="24" w:after="24" w:line="240" w:lineRule="auto"/>
        <w:ind w:left="24" w:right="24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Научно установлено, что уровень развития речи детей находится в прямой зависимости от степени сформированности тонких движений пальцев рук.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детей, имеющих диагноз фонетикофонематическое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речедвигательного анализаторов.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</w:t>
      </w:r>
      <w:r>
        <w:rPr>
          <w:rFonts w:ascii="Verdana" w:hAnsi="Verdana"/>
          <w:i/>
          <w:iCs/>
          <w:sz w:val="18"/>
          <w:szCs w:val="18"/>
        </w:rPr>
        <w:t>(так как при этом индуктивно происходит возбуждение в речевых центрах мозга)</w:t>
      </w:r>
      <w:r>
        <w:rPr>
          <w:rFonts w:ascii="Verdana" w:hAnsi="Verdana"/>
          <w:sz w:val="18"/>
          <w:szCs w:val="18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 этой точки зрения проекция руки есть еще одна речевая зона мозга. Выдающийся педагог В. А. Сухомлинский отмечал : «Истоки способностей и дарований детей находятся на кончиках их пальцев. От пальцев, образно говоря, идут тончайшие ручейки, которые питают источник </w:t>
      </w:r>
      <w:r>
        <w:rPr>
          <w:rFonts w:ascii="Verdana" w:hAnsi="Verdana"/>
          <w:sz w:val="18"/>
          <w:szCs w:val="18"/>
        </w:rPr>
        <w:lastRenderedPageBreak/>
        <w:t>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</w:t>
      </w:r>
      <w:r>
        <w:rPr>
          <w:rFonts w:ascii="Verdana" w:hAnsi="Verdana"/>
          <w:i/>
          <w:iCs/>
          <w:sz w:val="18"/>
          <w:szCs w:val="18"/>
        </w:rPr>
        <w:t>(так как при этом индуктивно происходит возбуждение в центрах речи)</w:t>
      </w:r>
      <w:r>
        <w:rPr>
          <w:rFonts w:ascii="Verdana" w:hAnsi="Verdana"/>
          <w:sz w:val="18"/>
          <w:szCs w:val="18"/>
        </w:rPr>
        <w:t>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224FCF" w:rsidRDefault="00224FCF" w:rsidP="00224FC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Всё это создаёт благоприятную базу для развития речи и более успешного обучения в школе.</w:t>
      </w:r>
    </w:p>
    <w:p w:rsidR="0004387D" w:rsidRDefault="0004387D"/>
    <w:sectPr w:rsidR="0004387D" w:rsidSect="000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FCF"/>
    <w:rsid w:val="0004387D"/>
    <w:rsid w:val="0022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D"/>
  </w:style>
  <w:style w:type="paragraph" w:styleId="4">
    <w:name w:val="heading 4"/>
    <w:basedOn w:val="a"/>
    <w:link w:val="40"/>
    <w:uiPriority w:val="9"/>
    <w:qFormat/>
    <w:rsid w:val="00224FCF"/>
    <w:pPr>
      <w:spacing w:before="24" w:after="24" w:line="240" w:lineRule="auto"/>
      <w:ind w:left="24" w:right="24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FCF"/>
    <w:pPr>
      <w:spacing w:before="60" w:after="60" w:line="360" w:lineRule="auto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4FCF"/>
    <w:rPr>
      <w:rFonts w:ascii="Comic Sans MS" w:eastAsia="Times New Roman" w:hAnsi="Comic Sans MS" w:cs="Times New Roman"/>
      <w:color w:val="BD4B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Company>DreamLair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КАЛЮК</dc:creator>
  <cp:lastModifiedBy>КАЛЮК</cp:lastModifiedBy>
  <cp:revision>2</cp:revision>
  <dcterms:created xsi:type="dcterms:W3CDTF">2012-04-25T06:46:00Z</dcterms:created>
  <dcterms:modified xsi:type="dcterms:W3CDTF">2012-04-25T06:46:00Z</dcterms:modified>
</cp:coreProperties>
</file>