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C3" w:rsidRDefault="00C64FC3" w:rsidP="00C64FC3">
      <w:pPr>
        <w:pStyle w:val="ParagraphStyle"/>
        <w:spacing w:before="240" w:after="240" w:line="252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Развитие правильных речевых навыков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развития речевых навыков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дома. Поэтому родителям необходимо придерживаться ряда правил: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 и грамматической сторон детской речи.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Наполнить повседневную жизнь детей грамотным речевым общением, а именно: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называния окружающих предметов и явлений развивать предметный словарь </w:t>
      </w:r>
      <w:r>
        <w:rPr>
          <w:rFonts w:ascii="Times New Roman" w:hAnsi="Times New Roman" w:cs="Times New Roman"/>
          <w:i/>
          <w:iCs/>
          <w:sz w:val="28"/>
          <w:szCs w:val="28"/>
        </w:rPr>
        <w:t>(например: это мяч, это шапка и т. 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 д. </w:t>
      </w:r>
      <w:r>
        <w:rPr>
          <w:rFonts w:ascii="Times New Roman" w:hAnsi="Times New Roman" w:cs="Times New Roman"/>
          <w:i/>
          <w:iCs/>
          <w:sz w:val="28"/>
          <w:szCs w:val="28"/>
        </w:rPr>
        <w:t>(например: это книга; нет книги; ищу книгу; думаю о книге; рисую книгу.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Коля рисовал, а Даша рисовала и т. д.)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обращать внимание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речевой системы – глаголы, на примерах из повседневной жизни учить детей дифференцировать их по смыслу </w:t>
      </w:r>
      <w:r>
        <w:rPr>
          <w:rFonts w:ascii="Times New Roman" w:hAnsi="Times New Roman" w:cs="Times New Roman"/>
          <w:i/>
          <w:iCs/>
          <w:sz w:val="28"/>
          <w:szCs w:val="28"/>
        </w:rPr>
        <w:t>(например, соответственно: встал, лег, зашил дырку, пришил пуговицу, вышил цветок и т. 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привлекать внимание детей к правильному пониманию и употреблению пространственных предлогов в контекстной речи и изолированно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(например, положи карандаш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стол, возьми карандаш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стола, положи карандаш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стол, спрячь карандаш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спину т. 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грамматический строй речи, используя речевые игры </w:t>
      </w:r>
      <w:r>
        <w:rPr>
          <w:rFonts w:ascii="Times New Roman" w:hAnsi="Times New Roman" w:cs="Times New Roman"/>
          <w:i/>
          <w:iCs/>
          <w:sz w:val="28"/>
          <w:szCs w:val="28"/>
        </w:rPr>
        <w:t>(например, игра «У меня синий шар, а что у те6я…», желтое яблоко, красная машина, 4 красных яблока, 6 красных яблок, 6 легковых машин, 6 воздушных шаров)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Обращать внимание ребенка на процесс приготовления пищи, её качественный состав, продукты, из которых готовится блюдо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нап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имep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как готовим: варим, жарим, печем, чистим; вкусовые качества: вкусная, сладкая, горькая, горячая, холодная; цвет: зеленый, жёлтый).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Важную роль в организации работы должны оказывать любимые игрушки ребенка. 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рассказов-описаний о любимой игрушке, принесут большое удовольствие ее обладателю – ребенку.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Важно, чтобы вся вышеизложенная работа происходила на высоком эмоциональном подъеме ребенка и исподволь, ненавязчиво, в игровой форме позволяла ему овладевать сложной структурой родной речи.</w:t>
      </w:r>
    </w:p>
    <w:p w:rsidR="00C64FC3" w:rsidRDefault="00C64FC3" w:rsidP="00C64F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Родители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родителей от дальнейшей работы. Наоборот, учитывая особенности своего ребенка, привлекая родительскую интуицию и желание помочь, родители могут сделать все, чтобы их ребенок преодолел речевые затруднения.</w:t>
      </w:r>
    </w:p>
    <w:p w:rsidR="00594287" w:rsidRDefault="00594287"/>
    <w:sectPr w:rsidR="00594287" w:rsidSect="0059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C3"/>
    <w:rsid w:val="00594287"/>
    <w:rsid w:val="00C6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64F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2014-10-17T03:45:00Z</dcterms:created>
  <dcterms:modified xsi:type="dcterms:W3CDTF">2014-10-17T03:45:00Z</dcterms:modified>
</cp:coreProperties>
</file>