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Психическое развитие ребенка — сложный, генетически обусловленный процесс последовательного созревания высших психических функций, реализующийся под влиянием различных факторов внешней среды. К основным психическим функциям относятся: гнозис (узнавание, восприятие), праксис (целенаправленные действия), речь, память, чтение, письмо, счет, внимание, мышление (аналитико-синтетическая деятельность, умение сравнивать и классифицировать, обобщать), эмоции, воля, поведение, самооценка и др.</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В. Лебединский (2003) выделяет шесть основных видов нарушений психического развития у детей:</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Необратимое психическое недоразвитие (олигофрения).</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Задержанное психическое развитие (обратимое — полностью или частично).</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Поврежденное психическое развитие — деменция (наличие предшествующего периода нормального психического развития).</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Дефицитарное развитие (в условиях нарушений зрения, слуха, соматической патологии).</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Искаженное психическое развитие (ранний детский аутизм).</w:t>
      </w:r>
    </w:p>
    <w:p w:rsidR="00040312" w:rsidRPr="00040312" w:rsidRDefault="00040312" w:rsidP="00040312">
      <w:pPr>
        <w:numPr>
          <w:ilvl w:val="0"/>
          <w:numId w:val="1"/>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Дисгармоническое психическое развитие (психопатии).</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Задержки психического развития у детей и их коррекция являются актуальной проблемой детской психоневрологии. Термин «задержка психического развития» был предложен Г. Е. Сухаревой еще в 1959 г. Под задержкой психического развития (ЗПР) понимают замедление нормального темпа психического созревания по сравнению с принятыми возрастными нормами. ЗПР начинаются в раннем детском возрасте без предшествующего периода нормального развития, характеризуются стабильным течением (без ремиссий и рецидивов, в отличие от психических расстройств) и тенденцией к прогрессивному нивелированию по мере взросления ребенка. О ЗПР можно говорить до младшего школьного возраста. Сохраняющиеся признаки недоразвития психических функций в более старшем возрасте свидетельствуют об олигофрении (умственной отсталости).</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Состояния, относимые к ЗПР, являются составной частью более широкого понятия «пограничная интеллектуальная недостаточность» (Ковалев В. В., 1973). В англо-американской литературе пограничная интеллектуальная недостаточность частично описывается в рамках клинически недифференцированного синдрома «минимальность мозговой дисфункции» (ММД).</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Распространенность задержек психического развития среди детского населения (как самостоятельной группы состояний) составляет 1%, 2% и 8–10% в общей структуре психических заболеваний (Кузнецова Л. М.). Задержки психического развития в качестве синдрома, естественно, встречаются значительно чаще.</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Патогенез ЗПР малоизучен. По мнению Певзер (1966), основным механизмом ЗПР является нарушение созревания и функциональная недостаточность более молодых и сложных систем мозга, относящихся главным образом к лобным отделам коры больших полушарий, которые обеспечивают осуществление созидательных актов поведения и деятельности человека. Единых форм систематически пограничных форм интеллектуальной недостаточности в настоящее время не существует. Наиболее подробной является классификация пограничных состояний интеллектуальной недостаточности, представленная Ковалевым В. В. (1973).</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Существует деление ЗПР на первичную и вторичную. При этом вторичная задержка психического развития возникает на фоне первичного неповрежденного головного мозга при хронических соматических заболеваниях (пороки сердца и пр.), сопровождающихся церебральной недостаточностью.</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первые годы жизни в силу незрелости нервной системы у детей чаще наблюдается дисфункция созревания двигательных и общепсихических функций. Поэтому обычно в раннем детстве речь идет об общей задержке психомоторного развития с большей выраженностью отставания психических функций.</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У детей же старше трех лет становится возможным выделение уже более очерченных психоневрологических синдромов. Главным клиническим признаком ЗПР (по М. Ш. Вроно) являются: запаздывание развития основных психофизических функций (моторики, речи, социального поведения); эмоциональная незрелость; неравномерность развития отдельных психических функций; функциональный, обратимый характер нарушений.</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Если интеллектуальная недостаточность в дошкольном возрасте маскируется речевыми расстройствами, то в школьном возрасте она проявляется отчетливо и выражается в бедном запасе сведений об окружающем, медленном формировании понятий о форме и величине предметов, трудностях счета, пересказа прочитанного, непонимании скрытого смысла простых рассказов. У таких детей преобладает конкретно-образный тип мышления. Психические процессы инертны. Выражены истощаемость и пресыщаемость. Поведение незрелое. Уровень наглядно-образного мышления довольно высок, а абстрактно-логический уровень мышления, неразрывно связанный с внутренней речью, оказывается недостаточным.</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lastRenderedPageBreak/>
        <w:t>В отдельные формы интеллектуальной недостаточности В. В. Ковалев выделяет интеллектуальную недостаточность, возникшую в результате дефектов анализаторов и органов чувств, при ДЦП и синдроме раннего детского аутизма.</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Синдром ЗПР полиэтиологичен, основными причинами являются:</w:t>
      </w:r>
    </w:p>
    <w:p w:rsidR="00040312" w:rsidRPr="00040312" w:rsidRDefault="00040312" w:rsidP="00040312">
      <w:pPr>
        <w:spacing w:after="0" w:line="240" w:lineRule="auto"/>
        <w:ind w:left="60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 xml:space="preserve">1) </w:t>
      </w:r>
      <w:hyperlink r:id="rId6" w:history="1">
        <w:r w:rsidRPr="00040312">
          <w:rPr>
            <w:rFonts w:ascii="Arial" w:eastAsia="Times New Roman" w:hAnsi="Arial" w:cs="Arial"/>
            <w:color w:val="606060"/>
            <w:sz w:val="20"/>
            <w:szCs w:val="20"/>
            <w:u w:val="single"/>
            <w:lang w:eastAsia="ru-RU"/>
          </w:rPr>
          <w:t>перинатальные поражения центральной нервной системы</w:t>
        </w:r>
      </w:hyperlink>
      <w:r w:rsidRPr="00040312">
        <w:rPr>
          <w:rFonts w:ascii="Arial" w:eastAsia="Times New Roman" w:hAnsi="Arial" w:cs="Arial"/>
          <w:color w:val="606060"/>
          <w:sz w:val="20"/>
          <w:szCs w:val="20"/>
          <w:lang w:eastAsia="ru-RU"/>
        </w:rPr>
        <w:t xml:space="preserve"> (гипоксически-ишемического, травматического, инфекционного, метаболического характера; алгокольная и другие фетопатии);</w:t>
      </w:r>
      <w:r w:rsidRPr="00040312">
        <w:rPr>
          <w:rFonts w:ascii="Arial" w:eastAsia="Times New Roman" w:hAnsi="Arial" w:cs="Arial"/>
          <w:color w:val="606060"/>
          <w:sz w:val="20"/>
          <w:szCs w:val="20"/>
          <w:lang w:eastAsia="ru-RU"/>
        </w:rPr>
        <w:br/>
        <w:t xml:space="preserve">2) </w:t>
      </w:r>
      <w:hyperlink r:id="rId7" w:history="1">
        <w:r w:rsidRPr="00040312">
          <w:rPr>
            <w:rFonts w:ascii="Arial" w:eastAsia="Times New Roman" w:hAnsi="Arial" w:cs="Arial"/>
            <w:color w:val="606060"/>
            <w:sz w:val="20"/>
            <w:szCs w:val="20"/>
            <w:u w:val="single"/>
            <w:lang w:eastAsia="ru-RU"/>
          </w:rPr>
          <w:t>эпилепсия</w:t>
        </w:r>
      </w:hyperlink>
      <w:r w:rsidRPr="00040312">
        <w:rPr>
          <w:rFonts w:ascii="Arial" w:eastAsia="Times New Roman" w:hAnsi="Arial" w:cs="Arial"/>
          <w:color w:val="606060"/>
          <w:sz w:val="20"/>
          <w:szCs w:val="20"/>
          <w:lang w:eastAsia="ru-RU"/>
        </w:rPr>
        <w:t xml:space="preserve"> и эпилептические энцефалопатии;</w:t>
      </w:r>
      <w:r w:rsidRPr="00040312">
        <w:rPr>
          <w:rFonts w:ascii="Arial" w:eastAsia="Times New Roman" w:hAnsi="Arial" w:cs="Arial"/>
          <w:color w:val="606060"/>
          <w:sz w:val="20"/>
          <w:szCs w:val="20"/>
          <w:lang w:eastAsia="ru-RU"/>
        </w:rPr>
        <w:br/>
        <w:t>3) гидроцефалия (в т. ч. и гипорезорбтивные нарушения);</w:t>
      </w:r>
      <w:r w:rsidRPr="00040312">
        <w:rPr>
          <w:rFonts w:ascii="Arial" w:eastAsia="Times New Roman" w:hAnsi="Arial" w:cs="Arial"/>
          <w:color w:val="606060"/>
          <w:sz w:val="20"/>
          <w:szCs w:val="20"/>
          <w:lang w:eastAsia="ru-RU"/>
        </w:rPr>
        <w:br/>
        <w:t>4) краниостенозы;</w:t>
      </w:r>
      <w:r w:rsidRPr="00040312">
        <w:rPr>
          <w:rFonts w:ascii="Arial" w:eastAsia="Times New Roman" w:hAnsi="Arial" w:cs="Arial"/>
          <w:color w:val="606060"/>
          <w:sz w:val="20"/>
          <w:szCs w:val="20"/>
          <w:lang w:eastAsia="ru-RU"/>
        </w:rPr>
        <w:br/>
        <w:t>5) новообразования головного мозга;</w:t>
      </w:r>
      <w:r w:rsidRPr="00040312">
        <w:rPr>
          <w:rFonts w:ascii="Arial" w:eastAsia="Times New Roman" w:hAnsi="Arial" w:cs="Arial"/>
          <w:color w:val="606060"/>
          <w:sz w:val="20"/>
          <w:szCs w:val="20"/>
          <w:lang w:eastAsia="ru-RU"/>
        </w:rPr>
        <w:br/>
        <w:t>6) пороки развития головного мозга (дисгенезии мозолистого тела, голопрозэнцефалия, арахноидальные кисты и др.);</w:t>
      </w:r>
      <w:r w:rsidRPr="00040312">
        <w:rPr>
          <w:rFonts w:ascii="Arial" w:eastAsia="Times New Roman" w:hAnsi="Arial" w:cs="Arial"/>
          <w:color w:val="606060"/>
          <w:sz w:val="20"/>
          <w:szCs w:val="20"/>
          <w:lang w:eastAsia="ru-RU"/>
        </w:rPr>
        <w:br/>
        <w:t>7) наследственные болезни (</w:t>
      </w:r>
      <w:hyperlink r:id="rId8" w:history="1">
        <w:r w:rsidRPr="00040312">
          <w:rPr>
            <w:rFonts w:ascii="Arial" w:eastAsia="Times New Roman" w:hAnsi="Arial" w:cs="Arial"/>
            <w:color w:val="606060"/>
            <w:sz w:val="20"/>
            <w:szCs w:val="20"/>
            <w:u w:val="single"/>
            <w:lang w:eastAsia="ru-RU"/>
          </w:rPr>
          <w:t>фенилкетонурия</w:t>
        </w:r>
      </w:hyperlink>
      <w:r w:rsidRPr="00040312">
        <w:rPr>
          <w:rFonts w:ascii="Arial" w:eastAsia="Times New Roman" w:hAnsi="Arial" w:cs="Arial"/>
          <w:color w:val="606060"/>
          <w:sz w:val="20"/>
          <w:szCs w:val="20"/>
          <w:lang w:eastAsia="ru-RU"/>
        </w:rPr>
        <w:t>, гистидинемия, гомоцистинурия и др.);</w:t>
      </w:r>
      <w:r w:rsidRPr="00040312">
        <w:rPr>
          <w:rFonts w:ascii="Arial" w:eastAsia="Times New Roman" w:hAnsi="Arial" w:cs="Arial"/>
          <w:color w:val="606060"/>
          <w:sz w:val="20"/>
          <w:szCs w:val="20"/>
          <w:lang w:eastAsia="ru-RU"/>
        </w:rPr>
        <w:br/>
        <w:t>8) митохондриальные заболевания;</w:t>
      </w:r>
      <w:r w:rsidRPr="00040312">
        <w:rPr>
          <w:rFonts w:ascii="Arial" w:eastAsia="Times New Roman" w:hAnsi="Arial" w:cs="Arial"/>
          <w:color w:val="606060"/>
          <w:sz w:val="20"/>
          <w:szCs w:val="20"/>
          <w:lang w:eastAsia="ru-RU"/>
        </w:rPr>
        <w:br/>
        <w:t>9) болезни накопления;</w:t>
      </w:r>
      <w:r w:rsidRPr="00040312">
        <w:rPr>
          <w:rFonts w:ascii="Arial" w:eastAsia="Times New Roman" w:hAnsi="Arial" w:cs="Arial"/>
          <w:color w:val="606060"/>
          <w:sz w:val="20"/>
          <w:szCs w:val="20"/>
          <w:lang w:eastAsia="ru-RU"/>
        </w:rPr>
        <w:br/>
        <w:t>10) хромосомные болезни (</w:t>
      </w:r>
      <w:hyperlink r:id="rId9" w:history="1">
        <w:r w:rsidRPr="00040312">
          <w:rPr>
            <w:rFonts w:ascii="Arial" w:eastAsia="Times New Roman" w:hAnsi="Arial" w:cs="Arial"/>
            <w:color w:val="606060"/>
            <w:sz w:val="20"/>
            <w:szCs w:val="20"/>
            <w:u w:val="single"/>
            <w:lang w:eastAsia="ru-RU"/>
          </w:rPr>
          <w:t>синдром Дауна</w:t>
        </w:r>
      </w:hyperlink>
      <w:r w:rsidRPr="00040312">
        <w:rPr>
          <w:rFonts w:ascii="Arial" w:eastAsia="Times New Roman" w:hAnsi="Arial" w:cs="Arial"/>
          <w:color w:val="606060"/>
          <w:sz w:val="20"/>
          <w:szCs w:val="20"/>
          <w:lang w:eastAsia="ru-RU"/>
        </w:rPr>
        <w:t>, фрагильная Х-хромосома и др.);</w:t>
      </w:r>
      <w:r w:rsidRPr="00040312">
        <w:rPr>
          <w:rFonts w:ascii="Arial" w:eastAsia="Times New Roman" w:hAnsi="Arial" w:cs="Arial"/>
          <w:color w:val="606060"/>
          <w:sz w:val="20"/>
          <w:szCs w:val="20"/>
          <w:lang w:eastAsia="ru-RU"/>
        </w:rPr>
        <w:br/>
        <w:t>11) наследственные синдромы;</w:t>
      </w:r>
      <w:r w:rsidRPr="00040312">
        <w:rPr>
          <w:rFonts w:ascii="Arial" w:eastAsia="Times New Roman" w:hAnsi="Arial" w:cs="Arial"/>
          <w:color w:val="606060"/>
          <w:sz w:val="20"/>
          <w:szCs w:val="20"/>
          <w:lang w:eastAsia="ru-RU"/>
        </w:rPr>
        <w:br/>
        <w:t>12) нейрокожные синдромы (</w:t>
      </w:r>
      <w:hyperlink r:id="rId10" w:history="1">
        <w:r w:rsidRPr="00040312">
          <w:rPr>
            <w:rFonts w:ascii="Arial" w:eastAsia="Times New Roman" w:hAnsi="Arial" w:cs="Arial"/>
            <w:color w:val="606060"/>
            <w:sz w:val="20"/>
            <w:szCs w:val="20"/>
            <w:u w:val="single"/>
            <w:lang w:eastAsia="ru-RU"/>
          </w:rPr>
          <w:t>нейрофиброматоз</w:t>
        </w:r>
      </w:hyperlink>
      <w:r w:rsidRPr="00040312">
        <w:rPr>
          <w:rFonts w:ascii="Arial" w:eastAsia="Times New Roman" w:hAnsi="Arial" w:cs="Arial"/>
          <w:color w:val="606060"/>
          <w:sz w:val="20"/>
          <w:szCs w:val="20"/>
          <w:lang w:eastAsia="ru-RU"/>
        </w:rPr>
        <w:t xml:space="preserve">, </w:t>
      </w:r>
      <w:hyperlink r:id="rId11" w:history="1">
        <w:r w:rsidRPr="00040312">
          <w:rPr>
            <w:rFonts w:ascii="Arial" w:eastAsia="Times New Roman" w:hAnsi="Arial" w:cs="Arial"/>
            <w:color w:val="606060"/>
            <w:sz w:val="20"/>
            <w:szCs w:val="20"/>
            <w:u w:val="single"/>
            <w:lang w:eastAsia="ru-RU"/>
          </w:rPr>
          <w:t>туберозный склероз</w:t>
        </w:r>
      </w:hyperlink>
      <w:r w:rsidRPr="00040312">
        <w:rPr>
          <w:rFonts w:ascii="Arial" w:eastAsia="Times New Roman" w:hAnsi="Arial" w:cs="Arial"/>
          <w:color w:val="606060"/>
          <w:sz w:val="20"/>
          <w:szCs w:val="20"/>
          <w:lang w:eastAsia="ru-RU"/>
        </w:rPr>
        <w:t>, энцефалотригеминальный ангиоматоз и др.);</w:t>
      </w:r>
      <w:r w:rsidRPr="00040312">
        <w:rPr>
          <w:rFonts w:ascii="Arial" w:eastAsia="Times New Roman" w:hAnsi="Arial" w:cs="Arial"/>
          <w:color w:val="606060"/>
          <w:sz w:val="20"/>
          <w:szCs w:val="20"/>
          <w:lang w:eastAsia="ru-RU"/>
        </w:rPr>
        <w:br/>
        <w:t>13) врожденные эндокринные заболевания (</w:t>
      </w:r>
      <w:hyperlink r:id="rId12" w:history="1">
        <w:r w:rsidRPr="00040312">
          <w:rPr>
            <w:rFonts w:ascii="Arial" w:eastAsia="Times New Roman" w:hAnsi="Arial" w:cs="Arial"/>
            <w:color w:val="606060"/>
            <w:sz w:val="20"/>
            <w:szCs w:val="20"/>
            <w:u w:val="single"/>
            <w:lang w:eastAsia="ru-RU"/>
          </w:rPr>
          <w:t>врожденный гипотиреоз</w:t>
        </w:r>
      </w:hyperlink>
      <w:r w:rsidRPr="00040312">
        <w:rPr>
          <w:rFonts w:ascii="Arial" w:eastAsia="Times New Roman" w:hAnsi="Arial" w:cs="Arial"/>
          <w:color w:val="606060"/>
          <w:sz w:val="20"/>
          <w:szCs w:val="20"/>
          <w:lang w:eastAsia="ru-RU"/>
        </w:rPr>
        <w:t xml:space="preserve"> и др.);</w:t>
      </w:r>
      <w:r w:rsidRPr="00040312">
        <w:rPr>
          <w:rFonts w:ascii="Arial" w:eastAsia="Times New Roman" w:hAnsi="Arial" w:cs="Arial"/>
          <w:color w:val="606060"/>
          <w:sz w:val="20"/>
          <w:szCs w:val="20"/>
          <w:lang w:eastAsia="ru-RU"/>
        </w:rPr>
        <w:br/>
        <w:t xml:space="preserve">14) аутистические расстройства (синдром Канера, Аспергера, </w:t>
      </w:r>
      <w:hyperlink r:id="rId13" w:history="1">
        <w:r w:rsidRPr="00040312">
          <w:rPr>
            <w:rFonts w:ascii="Arial" w:eastAsia="Times New Roman" w:hAnsi="Arial" w:cs="Arial"/>
            <w:color w:val="606060"/>
            <w:sz w:val="20"/>
            <w:szCs w:val="20"/>
            <w:u w:val="single"/>
            <w:lang w:eastAsia="ru-RU"/>
          </w:rPr>
          <w:t>Ретта</w:t>
        </w:r>
      </w:hyperlink>
      <w:r w:rsidRPr="00040312">
        <w:rPr>
          <w:rFonts w:ascii="Arial" w:eastAsia="Times New Roman" w:hAnsi="Arial" w:cs="Arial"/>
          <w:color w:val="606060"/>
          <w:sz w:val="20"/>
          <w:szCs w:val="20"/>
          <w:lang w:eastAsia="ru-RU"/>
        </w:rPr>
        <w:t xml:space="preserve"> и др.);</w:t>
      </w:r>
      <w:r w:rsidRPr="00040312">
        <w:rPr>
          <w:rFonts w:ascii="Arial" w:eastAsia="Times New Roman" w:hAnsi="Arial" w:cs="Arial"/>
          <w:color w:val="606060"/>
          <w:sz w:val="20"/>
          <w:szCs w:val="20"/>
          <w:lang w:eastAsia="ru-RU"/>
        </w:rPr>
        <w:br/>
        <w:t>15) соматическая патология (болезни сердца, почек и др.);</w:t>
      </w:r>
      <w:r w:rsidRPr="00040312">
        <w:rPr>
          <w:rFonts w:ascii="Arial" w:eastAsia="Times New Roman" w:hAnsi="Arial" w:cs="Arial"/>
          <w:color w:val="606060"/>
          <w:sz w:val="20"/>
          <w:szCs w:val="20"/>
          <w:lang w:eastAsia="ru-RU"/>
        </w:rPr>
        <w:br/>
        <w:t>16) снижение зрительной и слуховой функции;</w:t>
      </w:r>
      <w:r w:rsidRPr="00040312">
        <w:rPr>
          <w:rFonts w:ascii="Arial" w:eastAsia="Times New Roman" w:hAnsi="Arial" w:cs="Arial"/>
          <w:color w:val="606060"/>
          <w:sz w:val="20"/>
          <w:szCs w:val="20"/>
          <w:lang w:eastAsia="ru-RU"/>
        </w:rPr>
        <w:br/>
        <w:t>17) педагогическая запущенность.</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 xml:space="preserve">В течение в основном последнего десятилетия выявлена закономерная связь когнитивных расстройств развития с </w:t>
      </w:r>
      <w:hyperlink r:id="rId14" w:history="1">
        <w:r w:rsidRPr="00040312">
          <w:rPr>
            <w:rFonts w:ascii="Arial" w:eastAsia="Times New Roman" w:hAnsi="Arial" w:cs="Arial"/>
            <w:color w:val="606060"/>
            <w:sz w:val="20"/>
            <w:szCs w:val="20"/>
            <w:u w:val="single"/>
            <w:lang w:eastAsia="ru-RU"/>
          </w:rPr>
          <w:t>эпилепсией</w:t>
        </w:r>
      </w:hyperlink>
      <w:r w:rsidRPr="00040312">
        <w:rPr>
          <w:rFonts w:ascii="Arial" w:eastAsia="Times New Roman" w:hAnsi="Arial" w:cs="Arial"/>
          <w:color w:val="606060"/>
          <w:sz w:val="20"/>
          <w:szCs w:val="20"/>
          <w:lang w:eastAsia="ru-RU"/>
        </w:rPr>
        <w:t xml:space="preserve"> и эпилептической активностью в мозге. Достаточно широко наблюдаются эпилептиформные разряды в ЭЭГ у лиц, никогда не имевших эпилептических припадков. Неконтролируемое распространение спонтанных эпилептических разрядов с каскадообразным вовлечением потенциально нормальных нейронов в патологическую синхронизацию вне припадков ведет к невозможности выполнения ими нормальных функций, что проявляется всем спектром когнитивных расстройств.</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По данным многих исследований, эпилептиформная активность наблюдается в ЭЭГ пациентов с когнитивными нарушениями от 20% до 90% в зависимости от формы патологии. Таким образом, выявлена обширная зона перекрытия расстройств психического развития и фенотипа с эпилептиформной и эпилептической активностью в ЭЭГ. Соответственно этому Рабочей группой по классификации и терминологии Международной противоэпилептической лиги в проект новой классификации эпилептических синдромов введена рубрика «Эпилептические энцефалопатии», куда отнесены эпилепсии и эпилептические синдромы, при которых эпилептические разряды в мозге приводят к прогрессирующей мозговой дисфункции. Препаратом первого выбора в лечении когнитивных эпилептических расстройств является вальпроевая кислота.</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Оценка психического развития ребенка включает в себя:</w:t>
      </w:r>
    </w:p>
    <w:p w:rsidR="00040312" w:rsidRPr="00040312" w:rsidRDefault="00040312" w:rsidP="00040312">
      <w:pPr>
        <w:spacing w:after="0" w:line="240" w:lineRule="auto"/>
        <w:ind w:left="60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1) предречевое и речевое развитие;</w:t>
      </w:r>
      <w:r w:rsidRPr="00040312">
        <w:rPr>
          <w:rFonts w:ascii="Arial" w:eastAsia="Times New Roman" w:hAnsi="Arial" w:cs="Arial"/>
          <w:color w:val="606060"/>
          <w:sz w:val="20"/>
          <w:szCs w:val="20"/>
          <w:lang w:eastAsia="ru-RU"/>
        </w:rPr>
        <w:br/>
        <w:t>2) развитие восприятия (представления о частях тела, бытовых предметах, цвете, размере, форме, ориентировка в пространстве);</w:t>
      </w:r>
      <w:r w:rsidRPr="00040312">
        <w:rPr>
          <w:rFonts w:ascii="Arial" w:eastAsia="Times New Roman" w:hAnsi="Arial" w:cs="Arial"/>
          <w:color w:val="606060"/>
          <w:sz w:val="20"/>
          <w:szCs w:val="20"/>
          <w:lang w:eastAsia="ru-RU"/>
        </w:rPr>
        <w:br/>
        <w:t>3) развитие памяти (стихи, пересказы);</w:t>
      </w:r>
      <w:r w:rsidRPr="00040312">
        <w:rPr>
          <w:rFonts w:ascii="Arial" w:eastAsia="Times New Roman" w:hAnsi="Arial" w:cs="Arial"/>
          <w:color w:val="606060"/>
          <w:sz w:val="20"/>
          <w:szCs w:val="20"/>
          <w:lang w:eastAsia="ru-RU"/>
        </w:rPr>
        <w:br/>
        <w:t>4) развитие мышления (знания об окружающем мире — время года, время суток; аналитико-синтетическая деятельность, способность к сравнению, обобщению, классификации);</w:t>
      </w:r>
      <w:r w:rsidRPr="00040312">
        <w:rPr>
          <w:rFonts w:ascii="Arial" w:eastAsia="Times New Roman" w:hAnsi="Arial" w:cs="Arial"/>
          <w:color w:val="606060"/>
          <w:sz w:val="20"/>
          <w:szCs w:val="20"/>
          <w:lang w:eastAsia="ru-RU"/>
        </w:rPr>
        <w:br/>
        <w:t>5) развитие внимания (устойчивость, переключаемость);</w:t>
      </w:r>
      <w:r w:rsidRPr="00040312">
        <w:rPr>
          <w:rFonts w:ascii="Arial" w:eastAsia="Times New Roman" w:hAnsi="Arial" w:cs="Arial"/>
          <w:color w:val="606060"/>
          <w:sz w:val="20"/>
          <w:szCs w:val="20"/>
          <w:lang w:eastAsia="ru-RU"/>
        </w:rPr>
        <w:br/>
        <w:t>6) развитие игровой деятельности;</w:t>
      </w:r>
      <w:r w:rsidRPr="00040312">
        <w:rPr>
          <w:rFonts w:ascii="Arial" w:eastAsia="Times New Roman" w:hAnsi="Arial" w:cs="Arial"/>
          <w:color w:val="606060"/>
          <w:sz w:val="20"/>
          <w:szCs w:val="20"/>
          <w:lang w:eastAsia="ru-RU"/>
        </w:rPr>
        <w:br/>
        <w:t>7) развитие изобразительной деятельности (рисование, лепка) и конструирования (постройки и др.);</w:t>
      </w:r>
      <w:r w:rsidRPr="00040312">
        <w:rPr>
          <w:rFonts w:ascii="Arial" w:eastAsia="Times New Roman" w:hAnsi="Arial" w:cs="Arial"/>
          <w:color w:val="606060"/>
          <w:sz w:val="20"/>
          <w:szCs w:val="20"/>
          <w:lang w:eastAsia="ru-RU"/>
        </w:rPr>
        <w:br/>
        <w:t>8) развитие навыков самообслуживания (гигиенические навыки, аккуратность, одевание/раздевание, прием пищи и др.);</w:t>
      </w:r>
      <w:r w:rsidRPr="00040312">
        <w:rPr>
          <w:rFonts w:ascii="Arial" w:eastAsia="Times New Roman" w:hAnsi="Arial" w:cs="Arial"/>
          <w:color w:val="606060"/>
          <w:sz w:val="20"/>
          <w:szCs w:val="20"/>
          <w:lang w:eastAsia="ru-RU"/>
        </w:rPr>
        <w:br/>
        <w:t>9) становление эмоционально-волевой сферы (устойчивость чувств и действий, ответственность, критичность к своему поведению, саморегуляция поведения);</w:t>
      </w:r>
      <w:r w:rsidRPr="00040312">
        <w:rPr>
          <w:rFonts w:ascii="Arial" w:eastAsia="Times New Roman" w:hAnsi="Arial" w:cs="Arial"/>
          <w:color w:val="606060"/>
          <w:sz w:val="20"/>
          <w:szCs w:val="20"/>
          <w:lang w:eastAsia="ru-RU"/>
        </w:rPr>
        <w:br/>
        <w:t>10) коммуникативное развитие (контактность и адекватность поведения в общении с окружающими: интерес ребенка к взрослому, способность привлечь внимание взрослого, реакция на отношение взрослого);</w:t>
      </w:r>
      <w:r w:rsidRPr="00040312">
        <w:rPr>
          <w:rFonts w:ascii="Arial" w:eastAsia="Times New Roman" w:hAnsi="Arial" w:cs="Arial"/>
          <w:color w:val="606060"/>
          <w:sz w:val="20"/>
          <w:szCs w:val="20"/>
          <w:lang w:eastAsia="ru-RU"/>
        </w:rPr>
        <w:br/>
        <w:t>11) развитие самосознания (знания о себе — имя, фамилия, адрес; самооценка, саморегуляция поведения);</w:t>
      </w:r>
      <w:r w:rsidRPr="00040312">
        <w:rPr>
          <w:rFonts w:ascii="Arial" w:eastAsia="Times New Roman" w:hAnsi="Arial" w:cs="Arial"/>
          <w:color w:val="606060"/>
          <w:sz w:val="20"/>
          <w:szCs w:val="20"/>
          <w:lang w:eastAsia="ru-RU"/>
        </w:rPr>
        <w:br/>
        <w:t>12) развитие школьных навыков (счет, чтение, письмо и др.).</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lastRenderedPageBreak/>
        <w:t>Для исследования уровня психического развития ребенка используются психологические тесты (шкала Бейли, денверовский тест и многие другие). Уровень интеллекта по системе IQ определяется у детей старше 3 лет.</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МКБ-10 ЗПР рассматриваются в разделе F80-F89 «Расстройства психологического развития», при этом используются следующие основные рубрики:</w:t>
      </w:r>
    </w:p>
    <w:p w:rsidR="00040312" w:rsidRPr="00040312" w:rsidRDefault="00040312" w:rsidP="00040312">
      <w:pPr>
        <w:numPr>
          <w:ilvl w:val="0"/>
          <w:numId w:val="2"/>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F80. Специфические расстройства развития речи и языка (F80.0. Специфическое расстройство артикуляции; F80.1. Расстройство экспрессивной речи; F80.2. Расстройство рецептивной речи).</w:t>
      </w:r>
    </w:p>
    <w:p w:rsidR="00040312" w:rsidRPr="00040312" w:rsidRDefault="00040312" w:rsidP="00040312">
      <w:pPr>
        <w:numPr>
          <w:ilvl w:val="0"/>
          <w:numId w:val="2"/>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F81. Специфические расстройства развития учебных навыков (F81.0. Специфическое расстройство чтения (дислексия); F81.1. Специфическое расстройство спеллингования (дисграфия); F81.2. Специфическое расстройство арифметических навыков (дискалькулия); F81.3. Смешанное расстройство учебных навыков; F81.8. Другие расстройства учебных навыков).</w:t>
      </w:r>
    </w:p>
    <w:p w:rsidR="00040312" w:rsidRPr="00040312" w:rsidRDefault="00040312" w:rsidP="00040312">
      <w:pPr>
        <w:numPr>
          <w:ilvl w:val="0"/>
          <w:numId w:val="2"/>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F82. Специфические расстройства развития моторных функций (диспраксия).</w:t>
      </w:r>
    </w:p>
    <w:p w:rsidR="00040312" w:rsidRPr="00040312" w:rsidRDefault="00040312" w:rsidP="00040312">
      <w:pPr>
        <w:numPr>
          <w:ilvl w:val="0"/>
          <w:numId w:val="2"/>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F83. Смешанные специфические расстройства психического развития.</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ЗПР часто сопутствуют состояния, отраженные в разделе «F90-F98» МКБ-10 «Эмоциональные расстройства и расстройства поведения, начинающиеся в детском и подростковом возрасте» (F90. Гиперкинетические расстройства: F90.0. Нарушение активности и внимания; 90.1. Гиперкинетическое расстройство поведения; F91. Расстройства поведения; F93.1. Фобическое тревожное расстройство; F95. Тики; F98.0. Энурез неорганической природы; F98.1. Энкопрез неорганической природы; F98.5. Заикание и др.).</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основе лечения ЗПР лежит мультидисциплинарный подход с активным участием неврологов, педиатров, психологов, психиатров, логопедов, педагогов-дефектологов (в т. ч. монтессори-педагогов). Коррекция должна проводиться длительно. Основным направлением помощи детям с ЗПР является разносторонняя психолого-педагогическая коррекция, направленная на улучшение когнитивного развития и эмоционально-коммуникативной сферы. В случае ее недостаточной эффективности применяется медикаментозная терапия. При этом препаратами выбора становятся средства с ноотропным действием (от греч. noos — мышление, разум, интеллект; tropos — поворот, направление). По определению ВОЗ, ноотропные препараты — это средства, оказывающие прямое активирующее действие на ЦНС, улучшающие память и умственную деятельность, а также повышающие устойчивость мозга к гипоксии и токсическим воздействиям. Их общее свойство — действие на высшие интегративные и когнитивные функции головного мозга — память, восприятие, внимание, мышление, речь, эмоционально-волевые функции. При использовании вазопротектеров ноотропный эффект развивается вторично, вследствие позитивного влияния на мозговой кровоток.</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настоящее время при ЗПР используются следующие нейротропные средства:</w:t>
      </w:r>
    </w:p>
    <w:p w:rsidR="00040312" w:rsidRPr="00040312" w:rsidRDefault="00040312" w:rsidP="00040312">
      <w:pPr>
        <w:spacing w:after="0" w:line="240" w:lineRule="auto"/>
        <w:ind w:left="60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1) производные пирролидона: пирацетам и др.;</w:t>
      </w:r>
      <w:r w:rsidRPr="00040312">
        <w:rPr>
          <w:rFonts w:ascii="Arial" w:eastAsia="Times New Roman" w:hAnsi="Arial" w:cs="Arial"/>
          <w:color w:val="606060"/>
          <w:sz w:val="20"/>
          <w:szCs w:val="20"/>
          <w:lang w:eastAsia="ru-RU"/>
        </w:rPr>
        <w:br/>
        <w:t>2) производные пиридоксина: Биотре</w:t>
      </w:r>
      <w:r w:rsidRPr="00040312">
        <w:rPr>
          <w:rFonts w:ascii="Arial" w:eastAsia="Times New Roman" w:hAnsi="Arial" w:cs="Arial"/>
          <w:color w:val="606060"/>
          <w:sz w:val="20"/>
          <w:szCs w:val="20"/>
          <w:lang w:eastAsia="ru-RU"/>
        </w:rPr>
        <w:softHyphen/>
        <w:t>дин, Энцефабол;</w:t>
      </w:r>
      <w:r w:rsidRPr="00040312">
        <w:rPr>
          <w:rFonts w:ascii="Arial" w:eastAsia="Times New Roman" w:hAnsi="Arial" w:cs="Arial"/>
          <w:color w:val="606060"/>
          <w:sz w:val="20"/>
          <w:szCs w:val="20"/>
          <w:lang w:eastAsia="ru-RU"/>
        </w:rPr>
        <w:br/>
        <w:t>3) производные и аналоги гамма-аминомасляной кислоты (ГАМК): Аминалон, Пикамилон, Фенибут, Пантогам;</w:t>
      </w:r>
      <w:r w:rsidRPr="00040312">
        <w:rPr>
          <w:rFonts w:ascii="Arial" w:eastAsia="Times New Roman" w:hAnsi="Arial" w:cs="Arial"/>
          <w:color w:val="606060"/>
          <w:sz w:val="20"/>
          <w:szCs w:val="20"/>
          <w:lang w:eastAsia="ru-RU"/>
        </w:rPr>
        <w:br/>
        <w:t>4) препараты, усиливающие холи</w:t>
      </w:r>
      <w:r w:rsidRPr="00040312">
        <w:rPr>
          <w:rFonts w:ascii="Arial" w:eastAsia="Times New Roman" w:hAnsi="Arial" w:cs="Arial"/>
          <w:color w:val="606060"/>
          <w:sz w:val="20"/>
          <w:szCs w:val="20"/>
          <w:lang w:eastAsia="ru-RU"/>
        </w:rPr>
        <w:softHyphen/>
        <w:t>нер</w:t>
      </w:r>
      <w:r w:rsidRPr="00040312">
        <w:rPr>
          <w:rFonts w:ascii="Arial" w:eastAsia="Times New Roman" w:hAnsi="Arial" w:cs="Arial"/>
          <w:color w:val="606060"/>
          <w:sz w:val="20"/>
          <w:szCs w:val="20"/>
          <w:lang w:eastAsia="ru-RU"/>
        </w:rPr>
        <w:softHyphen/>
        <w:t>ги</w:t>
      </w:r>
      <w:r w:rsidRPr="00040312">
        <w:rPr>
          <w:rFonts w:ascii="Arial" w:eastAsia="Times New Roman" w:hAnsi="Arial" w:cs="Arial"/>
          <w:color w:val="606060"/>
          <w:sz w:val="20"/>
          <w:szCs w:val="20"/>
          <w:lang w:eastAsia="ru-RU"/>
        </w:rPr>
        <w:softHyphen/>
        <w:t>ческие процессы: Глиатилин, Цераксон, Энцефабол, Церебролизин;</w:t>
      </w:r>
      <w:r w:rsidRPr="00040312">
        <w:rPr>
          <w:rFonts w:ascii="Arial" w:eastAsia="Times New Roman" w:hAnsi="Arial" w:cs="Arial"/>
          <w:color w:val="606060"/>
          <w:sz w:val="20"/>
          <w:szCs w:val="20"/>
          <w:lang w:eastAsia="ru-RU"/>
        </w:rPr>
        <w:br/>
        <w:t>5) глутаматергические препараты: Глицин, Акатинол Мемантин;</w:t>
      </w:r>
      <w:r w:rsidRPr="00040312">
        <w:rPr>
          <w:rFonts w:ascii="Arial" w:eastAsia="Times New Roman" w:hAnsi="Arial" w:cs="Arial"/>
          <w:color w:val="606060"/>
          <w:sz w:val="20"/>
          <w:szCs w:val="20"/>
          <w:lang w:eastAsia="ru-RU"/>
        </w:rPr>
        <w:br/>
        <w:t>6) нейропептиды и их аналоги: Церебролизин, Актовегин, Кортексин, Церебрамин, Семакс;</w:t>
      </w:r>
      <w:r w:rsidRPr="00040312">
        <w:rPr>
          <w:rFonts w:ascii="Arial" w:eastAsia="Times New Roman" w:hAnsi="Arial" w:cs="Arial"/>
          <w:color w:val="606060"/>
          <w:sz w:val="20"/>
          <w:szCs w:val="20"/>
          <w:lang w:eastAsia="ru-RU"/>
        </w:rPr>
        <w:br/>
        <w:t>7) цереброваскулярные средства (винпоцетин, циннаризин, Инстенон, Гинкго Билоба, Вазобрал и др.);</w:t>
      </w:r>
      <w:r w:rsidRPr="00040312">
        <w:rPr>
          <w:rFonts w:ascii="Arial" w:eastAsia="Times New Roman" w:hAnsi="Arial" w:cs="Arial"/>
          <w:color w:val="606060"/>
          <w:sz w:val="20"/>
          <w:szCs w:val="20"/>
          <w:lang w:eastAsia="ru-RU"/>
        </w:rPr>
        <w:br/>
        <w:t>8) гомеопатические средства (Церебрум композитум H и др.);</w:t>
      </w:r>
      <w:r w:rsidRPr="00040312">
        <w:rPr>
          <w:rFonts w:ascii="Arial" w:eastAsia="Times New Roman" w:hAnsi="Arial" w:cs="Arial"/>
          <w:color w:val="606060"/>
          <w:sz w:val="20"/>
          <w:szCs w:val="20"/>
          <w:lang w:eastAsia="ru-RU"/>
        </w:rPr>
        <w:br/>
        <w:t>9) витаминоподобные средства (Идебе</w:t>
      </w:r>
      <w:r w:rsidRPr="00040312">
        <w:rPr>
          <w:rFonts w:ascii="Arial" w:eastAsia="Times New Roman" w:hAnsi="Arial" w:cs="Arial"/>
          <w:color w:val="606060"/>
          <w:sz w:val="20"/>
          <w:szCs w:val="20"/>
          <w:lang w:eastAsia="ru-RU"/>
        </w:rPr>
        <w:softHyphen/>
        <w:t>нон, Магне В6 и др.);</w:t>
      </w:r>
      <w:r w:rsidRPr="00040312">
        <w:rPr>
          <w:rFonts w:ascii="Arial" w:eastAsia="Times New Roman" w:hAnsi="Arial" w:cs="Arial"/>
          <w:color w:val="606060"/>
          <w:sz w:val="20"/>
          <w:szCs w:val="20"/>
          <w:lang w:eastAsia="ru-RU"/>
        </w:rPr>
        <w:br/>
        <w:t>10) антигипоксанты и антиоксиданты (Мексидол, Цитофлавин, Энцефабол);</w:t>
      </w:r>
      <w:r w:rsidRPr="00040312">
        <w:rPr>
          <w:rFonts w:ascii="Arial" w:eastAsia="Times New Roman" w:hAnsi="Arial" w:cs="Arial"/>
          <w:color w:val="606060"/>
          <w:sz w:val="20"/>
          <w:szCs w:val="20"/>
          <w:lang w:eastAsia="ru-RU"/>
        </w:rPr>
        <w:br/>
        <w:t>11) общетонизирующие средства (Когитум, Элькар, Лецитин и др.);</w:t>
      </w:r>
      <w:r w:rsidRPr="00040312">
        <w:rPr>
          <w:rFonts w:ascii="Arial" w:eastAsia="Times New Roman" w:hAnsi="Arial" w:cs="Arial"/>
          <w:color w:val="606060"/>
          <w:sz w:val="20"/>
          <w:szCs w:val="20"/>
          <w:lang w:eastAsia="ru-RU"/>
        </w:rPr>
        <w:br/>
        <w:t>12) витамины группы В (Нейро</w:t>
      </w:r>
      <w:r w:rsidRPr="00040312">
        <w:rPr>
          <w:rFonts w:ascii="Arial" w:eastAsia="Times New Roman" w:hAnsi="Arial" w:cs="Arial"/>
          <w:color w:val="606060"/>
          <w:sz w:val="20"/>
          <w:szCs w:val="20"/>
          <w:lang w:eastAsia="ru-RU"/>
        </w:rPr>
        <w:softHyphen/>
        <w:t>мультивит и др.).</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 xml:space="preserve">Выбор лекарственного средства проводится с учетом индивидуальных особенностей ребенка и коморбидных состояний. При этом ведущим является возбудимость нервной системы. При повышенной возбудимости ЦНС предпочтение отдается препаратам без возбуждающего эффекта (Пантогам, Пикамилон, Глицин, Фенибут, Кортексин, Церебрум композитум, Мексидол, Энцефабол, Фезам) или сочетание ноотропа с седативным средством (Нервохель, Валерианахель, Лецитин, Магне В6 и др.). В случаях, когда электроэнцефалография не выявляет у пациента эпилептиформной активности, выбирается препарат из группы ноотропов. Следует отметить, что в отсутствии ясности патогенеза когнитивных нарушений этот выбор часто носит случайный характер из числа многочисленных препаратов, в большом числе случаев не </w:t>
      </w:r>
      <w:r w:rsidRPr="00040312">
        <w:rPr>
          <w:rFonts w:ascii="Arial" w:eastAsia="Times New Roman" w:hAnsi="Arial" w:cs="Arial"/>
          <w:color w:val="606060"/>
          <w:sz w:val="20"/>
          <w:szCs w:val="20"/>
          <w:lang w:eastAsia="ru-RU"/>
        </w:rPr>
        <w:lastRenderedPageBreak/>
        <w:t>прошедших соответствующего тестирования на эффективность. В любых случаях рекомендуется монотерапия, назначаемая в одном-двух приемах в день.</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При задержках психомоторного развития у детей до года, синдрома гиперактивности с дефицитом внимания, а также ЗПР с преимущественно речевыми расстройствами у дошкольников более 15 лет в России эффективно используется Энцефабол. В контролируемых клинических исследованиях показана эффективность ноотропа пиритинола (Энцефабол).</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Место Энцефабола среди современных ноотропных средств не совсем обычно. Согласно формальным критериям классификации ноотропов, Энцефабол относится к препаратам смешанного типа (нейропротекторам) и включен в подгруппу антиоксидантов. Действительно, антиоксидантный механизм является одним из ведущих (но далеко не единственным) в спектре его фармакологической активности. Однако если исходить из клинико-фармакологических эффектов Энцефабола, в том числе его влияния на интеллектуально-мнестические функции, то данный препарат приближается к истинным ноотропам (рацетамовым производным и холинергическим средствам). Такое своеобразное действие Энцефабола определяет присущие только этому препарату фармакологические особенности и показания к клиническому применению.</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Пиритинол (Энцефабол) представляет собой удвоенную молекулу пиридоксина. Активное действующее вещество Энцефабола — пиритинол. По химической структуре он близок к пиридоксину (витамину В</w:t>
      </w:r>
      <w:r w:rsidRPr="00040312">
        <w:rPr>
          <w:rFonts w:ascii="Arial" w:eastAsia="Times New Roman" w:hAnsi="Arial" w:cs="Arial"/>
          <w:color w:val="606060"/>
          <w:sz w:val="20"/>
          <w:szCs w:val="20"/>
          <w:vertAlign w:val="subscript"/>
          <w:lang w:eastAsia="ru-RU"/>
        </w:rPr>
        <w:t>6</w:t>
      </w:r>
      <w:r w:rsidRPr="00040312">
        <w:rPr>
          <w:rFonts w:ascii="Arial" w:eastAsia="Times New Roman" w:hAnsi="Arial" w:cs="Arial"/>
          <w:color w:val="606060"/>
          <w:sz w:val="20"/>
          <w:szCs w:val="20"/>
          <w:lang w:eastAsia="ru-RU"/>
        </w:rPr>
        <w:t>), являясь по сути его удвоенной молекулой, но обладает несколько отличными от пиридоксина фармакологическими эффектами.</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Пиридоксин (витамин B</w:t>
      </w:r>
      <w:r w:rsidRPr="00040312">
        <w:rPr>
          <w:rFonts w:ascii="Arial" w:eastAsia="Times New Roman" w:hAnsi="Arial" w:cs="Arial"/>
          <w:color w:val="606060"/>
          <w:sz w:val="20"/>
          <w:szCs w:val="20"/>
          <w:vertAlign w:val="subscript"/>
          <w:lang w:eastAsia="ru-RU"/>
        </w:rPr>
        <w:t>6</w:t>
      </w:r>
      <w:r w:rsidRPr="00040312">
        <w:rPr>
          <w:rFonts w:ascii="Arial" w:eastAsia="Times New Roman" w:hAnsi="Arial" w:cs="Arial"/>
          <w:color w:val="606060"/>
          <w:sz w:val="20"/>
          <w:szCs w:val="20"/>
          <w:lang w:eastAsia="ru-RU"/>
        </w:rPr>
        <w:t>) является прекурсором глутамата и ГАМК — главных нейротрансмиттеров в ЦНС, с чем, возможно, связаны его ноотропные свойства. Пиритинол активирует метаболизм мозга, холинэргическую передачу, способствует стабилизации мембраны нервных клеток, предотвращает образование свободных радикалов, с чем, очевидно, связаны его нейропротекторные свойства.</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 экспериментах он улучшает межполушарное проведение нервных импульсов, корригирует пренатальные и перинатальные нарушения развития мозга у мышей с гиперактивностью, нарушением обучения и координации. В контролированных исследованиях выявлены возможности фармакотерапии Энцефаболом пациентов с задержкой общего и речевого развития, дисфазией, дислексией, дисграфией и дезартикуляцией и трудностями обучения. В исследовании когнитивных электрических потенциалов мозга показано, что улучшение при лечении пиритинолом обусловлено увеличением скорости и объема перерабатываемой информации.</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Важнейшая сторона действия пиритинола заключается в его влиянии на энергетический метаболизм клетки. Под воздействием пиритинола, прекрасно проникающего через гематоэнцефалический барьер, происходит усиление транспорта глюкозы и натрия в нейронах, а также замедление обмена фосфатов между нервной тканью и кровью [12], осуществляется накопление фосфатов — важнейшего субстрата энергетического обеспечения — в нейронах. Для того чтобы оценить значение такого сочетания механизмов действия с точки зрения клинической практики, следует помнить, что детерминантным патологическим процессом при ишемии мозга является не недостаток кислорода (играющий только причинную роль), а порождаемый им энергетический дефицит Энцефабола в структурно-функциональном плане значительно разнообразнее, чем только влияние на энергообеспечение нейронов.</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Данный препарат принимает непосредственное участие в белоксинтетических процессах в нервных клетках, в частности в процессах биосинтеза информационной РНК. Возможно, данный механизм играет важную роль в реализации мнемотропных эффектов Энцефабола, его влиянии на различные виды памяти, а также в улучшении пластических процессов в ЦНС.</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Важно отметить, что упомянутые эффекты Энцефабола реализуются в первую очередь в лимбико-ретикулярном комплексе. Очевидно, что Энцефабол, активируя ретикулярную формацию, существенно повышает функциональную активность головного мозга, является достаточно мощным нейродинамиком.</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Необходимо подчеркнуть и наличие сосудистого компонента в действии Энцефабола. До настоящего времени остается дискутабельным вопрос, в какой мере его вазотропные свойства являются первичными (непосредственное влияние на метаболические процессы в стенке мозговых сосудов), а в какой — вторичными, в результате нормализующего воздействия на нейроны сосудодвигательных центров головного мозга. Тем не менее, под влиянием Энцефабола отмечается нормализация кровотока в ишемизированных регионах ЦНС, улучшение микроциркуляции и реологических свойств крови — повышение эластичности эритроцитов и уменьшение вязкости крови (за счет повышения содержания АТФ в мембране эритроцитов).</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 xml:space="preserve">В официальной аннотации к Энцефаболу нет противопоказаний к его применению при </w:t>
      </w:r>
      <w:hyperlink r:id="rId15" w:history="1">
        <w:r w:rsidRPr="00040312">
          <w:rPr>
            <w:rFonts w:ascii="Arial" w:eastAsia="Times New Roman" w:hAnsi="Arial" w:cs="Arial"/>
            <w:color w:val="606060"/>
            <w:sz w:val="20"/>
            <w:szCs w:val="20"/>
            <w:u w:val="single"/>
            <w:lang w:eastAsia="ru-RU"/>
          </w:rPr>
          <w:t>эпилепсии</w:t>
        </w:r>
      </w:hyperlink>
      <w:r w:rsidRPr="00040312">
        <w:rPr>
          <w:rFonts w:ascii="Arial" w:eastAsia="Times New Roman" w:hAnsi="Arial" w:cs="Arial"/>
          <w:color w:val="606060"/>
          <w:sz w:val="20"/>
          <w:szCs w:val="20"/>
          <w:lang w:eastAsia="ru-RU"/>
        </w:rPr>
        <w:t xml:space="preserve">, а анализ литературы не выявил публикаций о проконвульсивном его действии в базе данных highwire.stanford.edu (всего 162 публикации с 1970 по 2010 гг.). Возможно применение этого препарата в качестве дополнительной к противоэпилептической терапии для коррекции когнитивного дефицита. Было показано, что пиритинол активирует глутаматдекарбоксилазу, тем </w:t>
      </w:r>
      <w:r w:rsidRPr="00040312">
        <w:rPr>
          <w:rFonts w:ascii="Arial" w:eastAsia="Times New Roman" w:hAnsi="Arial" w:cs="Arial"/>
          <w:color w:val="606060"/>
          <w:sz w:val="20"/>
          <w:szCs w:val="20"/>
          <w:lang w:eastAsia="ru-RU"/>
        </w:rPr>
        <w:lastRenderedPageBreak/>
        <w:t>самым увеличивая продукцию тормозного нейротрансмиттера ГАМК, соответственно этому показано антиконвульсивное действие пиритинола при экспериментальной эпилепсии. Минимальный потенциал межлекарственного взаимодействия у Энцефабола предоставляет возможность его широкого применения в рамках комплексной терапии эпилепсии.</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На основе собственного многолетнего опыта применения Энцефабола нами был проведен анализ наиболее частых клинических эффектов Энцефабола при лечении ЗПР (</w:t>
      </w:r>
      <w:hyperlink r:id="rId16" w:tgtFrame="_blank" w:history="1">
        <w:r w:rsidRPr="00040312">
          <w:rPr>
            <w:rFonts w:ascii="Arial" w:eastAsia="Times New Roman" w:hAnsi="Arial" w:cs="Arial"/>
            <w:color w:val="606060"/>
            <w:sz w:val="20"/>
            <w:szCs w:val="20"/>
            <w:u w:val="single"/>
            <w:lang w:eastAsia="ru-RU"/>
          </w:rPr>
          <w:t>рис.</w:t>
        </w:r>
      </w:hyperlink>
      <w:r w:rsidRPr="00040312">
        <w:rPr>
          <w:rFonts w:ascii="Arial" w:eastAsia="Times New Roman" w:hAnsi="Arial" w:cs="Arial"/>
          <w:color w:val="606060"/>
          <w:sz w:val="20"/>
          <w:szCs w:val="20"/>
          <w:lang w:eastAsia="ru-RU"/>
        </w:rPr>
        <w:t>).</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Важнейшей клинической характеристикой Энцефабола является его безопасность, что особенно актуально, учитывая специфику популяции — основных потребителей данного препарата — педиатрической, где проблемы безопасности не уступают по своей значимости оценке эффективности. Побочные реакции при приеме Энцефабола возникают редко и, как правило, связаны с его общестимулирующим действием (бессонница, повышенная возбудимость, легкие формы головокружения) или в крайне редких случаях — с индивидуальной непереносимостью (аллергические реакции, диспептические проявления). Все вышеописанные симптомы практически всегда носят преходящий характер и не всегда требуют отмены препарата.</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На фармацевтическом рынке России препарат Энцефабол представлен в виде суспензии для перорального применения по 200 мл во флаконе и таблеток, покрытых оболочкой по 100 мг.</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Дозировка Энцефабола обычно составляет, в зависимости от стадии патологического процесса и индивидуальной реакции:</w:t>
      </w:r>
    </w:p>
    <w:p w:rsidR="00040312" w:rsidRPr="00040312" w:rsidRDefault="00040312" w:rsidP="00040312">
      <w:pPr>
        <w:numPr>
          <w:ilvl w:val="0"/>
          <w:numId w:val="3"/>
        </w:numPr>
        <w:spacing w:before="100" w:beforeAutospacing="1" w:after="100" w:afterAutospacing="1" w:line="240" w:lineRule="auto"/>
        <w:ind w:left="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для взрослых — по 1–2 таблетки или 1–2 чайных ложки суспензии 3 раза в день (300–600 мг);</w:t>
      </w:r>
    </w:p>
    <w:p w:rsidR="00040312" w:rsidRPr="00040312" w:rsidRDefault="00040312" w:rsidP="00040312">
      <w:pPr>
        <w:numPr>
          <w:ilvl w:val="0"/>
          <w:numId w:val="3"/>
        </w:numPr>
        <w:spacing w:before="100" w:beforeAutospacing="1" w:after="100" w:afterAutospacing="1" w:line="240" w:lineRule="auto"/>
        <w:ind w:left="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для новорожденных — с 3-го дня жизни по 1 мл суспензии в день утром в течение месяца;</w:t>
      </w:r>
    </w:p>
    <w:p w:rsidR="00040312" w:rsidRPr="00040312" w:rsidRDefault="00040312" w:rsidP="00040312">
      <w:pPr>
        <w:numPr>
          <w:ilvl w:val="0"/>
          <w:numId w:val="3"/>
        </w:numPr>
        <w:spacing w:before="100" w:beforeAutospacing="1" w:after="100" w:afterAutospacing="1" w:line="240" w:lineRule="auto"/>
        <w:ind w:left="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со 2-го месяца жизни следует увеличивать дозу на 1 мл каждую неделю до 5 мл (1 чайная ложка) в день;</w:t>
      </w:r>
    </w:p>
    <w:p w:rsidR="00040312" w:rsidRPr="00040312" w:rsidRDefault="00040312" w:rsidP="00040312">
      <w:pPr>
        <w:numPr>
          <w:ilvl w:val="0"/>
          <w:numId w:val="3"/>
        </w:numPr>
        <w:spacing w:before="100" w:beforeAutospacing="1" w:after="100" w:afterAutospacing="1" w:line="240" w:lineRule="auto"/>
        <w:ind w:left="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для детей от 1 года до 7 лет — по 1/2–1 чайной ложке суспензии 1–3 раза в день;</w:t>
      </w:r>
    </w:p>
    <w:p w:rsidR="00040312" w:rsidRPr="00040312" w:rsidRDefault="00040312" w:rsidP="00040312">
      <w:pPr>
        <w:numPr>
          <w:ilvl w:val="0"/>
          <w:numId w:val="3"/>
        </w:numPr>
        <w:spacing w:before="100" w:beforeAutospacing="1" w:after="100" w:afterAutospacing="1" w:line="240" w:lineRule="auto"/>
        <w:ind w:left="0"/>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для детей старше 7 лет — по 1/2–1 чайной ложке суспензии 1–3 раза в день или 1–2 таблетки 1–3 раза в день.</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Хотя первые результаты клинического действия Энцефабола могут проявляться уже через 2–4 недели приема препарата, оптимальные результаты, как правило, достигаются при длительности курса в 6–12 недель.</w:t>
      </w:r>
    </w:p>
    <w:p w:rsidR="00040312" w:rsidRPr="00040312" w:rsidRDefault="00040312" w:rsidP="00040312">
      <w:pPr>
        <w:spacing w:after="0" w:line="240" w:lineRule="auto"/>
        <w:rPr>
          <w:rFonts w:ascii="Arial" w:eastAsia="Times New Roman" w:hAnsi="Arial" w:cs="Arial"/>
          <w:color w:val="606060"/>
          <w:sz w:val="20"/>
          <w:szCs w:val="20"/>
          <w:lang w:eastAsia="ru-RU"/>
        </w:rPr>
      </w:pPr>
      <w:r w:rsidRPr="00040312">
        <w:rPr>
          <w:rFonts w:ascii="Arial" w:eastAsia="Times New Roman" w:hAnsi="Arial" w:cs="Arial"/>
          <w:b/>
          <w:bCs/>
          <w:color w:val="606060"/>
          <w:sz w:val="20"/>
          <w:szCs w:val="20"/>
          <w:lang w:eastAsia="ru-RU"/>
        </w:rPr>
        <w:t>Литература</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Амасьянц Р. А., Амасьянц Э. А.</w:t>
      </w:r>
      <w:r w:rsidRPr="00040312">
        <w:rPr>
          <w:rFonts w:ascii="Arial" w:eastAsia="Times New Roman" w:hAnsi="Arial" w:cs="Arial"/>
          <w:color w:val="606060"/>
          <w:sz w:val="20"/>
          <w:szCs w:val="20"/>
          <w:lang w:eastAsia="ru-RU"/>
        </w:rPr>
        <w:t xml:space="preserve"> Клиника интеллектуальных нарушений. Учебник. М.: Педагогическое общество России, 2009. 320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Актуальные проблемы диагностики задержки психического развития детей / Под ред. К. С. Лебединской. М., 1982.</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Баженова О. В.</w:t>
      </w:r>
      <w:r w:rsidRPr="00040312">
        <w:rPr>
          <w:rFonts w:ascii="Arial" w:eastAsia="Times New Roman" w:hAnsi="Arial" w:cs="Arial"/>
          <w:color w:val="606060"/>
          <w:sz w:val="20"/>
          <w:szCs w:val="20"/>
          <w:lang w:eastAsia="ru-RU"/>
        </w:rPr>
        <w:t xml:space="preserve"> Диагностика психического развития детей первого года жизни. М., 1987.</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Брунер Дж., Олвер Р., Гринфильд П.</w:t>
      </w:r>
      <w:r w:rsidRPr="00040312">
        <w:rPr>
          <w:rFonts w:ascii="Arial" w:eastAsia="Times New Roman" w:hAnsi="Arial" w:cs="Arial"/>
          <w:color w:val="606060"/>
          <w:sz w:val="20"/>
          <w:szCs w:val="20"/>
          <w:lang w:eastAsia="ru-RU"/>
        </w:rPr>
        <w:t xml:space="preserve"> Исследования развития познавательной деятельности. М., 1971.</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Бурчинский С. Г.</w:t>
      </w:r>
      <w:r w:rsidRPr="00040312">
        <w:rPr>
          <w:rFonts w:ascii="Arial" w:eastAsia="Times New Roman" w:hAnsi="Arial" w:cs="Arial"/>
          <w:color w:val="606060"/>
          <w:sz w:val="20"/>
          <w:szCs w:val="20"/>
          <w:lang w:eastAsia="ru-RU"/>
        </w:rPr>
        <w:t xml:space="preserve"> Современные ноотропные средства // Журнал практического врача. 1996, № 5, с. 42–45.</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Бурчинський С. Г.</w:t>
      </w:r>
      <w:r w:rsidRPr="00040312">
        <w:rPr>
          <w:rFonts w:ascii="Arial" w:eastAsia="Times New Roman" w:hAnsi="Arial" w:cs="Arial"/>
          <w:color w:val="606060"/>
          <w:sz w:val="20"/>
          <w:szCs w:val="20"/>
          <w:lang w:eastAsia="ru-RU"/>
        </w:rPr>
        <w:t xml:space="preserve"> Старіння мозку та вікова патологія: від фармакології — до фармакотерапії // Вісник фармакології і фармації. 2002, № 1, с. 12–17.</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Воронина Т. А., Середенин С. Б.</w:t>
      </w:r>
      <w:r w:rsidRPr="00040312">
        <w:rPr>
          <w:rFonts w:ascii="Arial" w:eastAsia="Times New Roman" w:hAnsi="Arial" w:cs="Arial"/>
          <w:color w:val="606060"/>
          <w:sz w:val="20"/>
          <w:szCs w:val="20"/>
          <w:lang w:eastAsia="ru-RU"/>
        </w:rPr>
        <w:t xml:space="preserve"> Ноотропные препараты, достижения и перспективы // Экспериментальная и клиническая фармакология. 1998, № 4, с. 3–9.</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Воронина Т. А.</w:t>
      </w:r>
      <w:r w:rsidRPr="00040312">
        <w:rPr>
          <w:rFonts w:ascii="Arial" w:eastAsia="Times New Roman" w:hAnsi="Arial" w:cs="Arial"/>
          <w:color w:val="606060"/>
          <w:sz w:val="20"/>
          <w:szCs w:val="20"/>
          <w:lang w:eastAsia="ru-RU"/>
        </w:rPr>
        <w:t xml:space="preserve"> Роль синаптической передачи в процессах памяти, нейродегенерации и механизме действия и нейротропных препаратов // Экспериментальная и клиническая фармакология. 2003, № 2, с. 10–14.</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Дольсе А.</w:t>
      </w:r>
      <w:r w:rsidRPr="00040312">
        <w:rPr>
          <w:rFonts w:ascii="Arial" w:eastAsia="Times New Roman" w:hAnsi="Arial" w:cs="Arial"/>
          <w:color w:val="606060"/>
          <w:sz w:val="20"/>
          <w:szCs w:val="20"/>
          <w:lang w:eastAsia="ru-RU"/>
        </w:rPr>
        <w:t xml:space="preserve"> Обзор экспериментальных исследований по Энцефаболу (пиритинолу). В кн.: Энцефабол: аспекты клинического применения. М., 2001, с. 43–48.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 xml:space="preserve">Заваденко Н. Н. </w:t>
      </w:r>
      <w:r w:rsidRPr="00040312">
        <w:rPr>
          <w:rFonts w:ascii="Arial" w:eastAsia="Times New Roman" w:hAnsi="Arial" w:cs="Arial"/>
          <w:color w:val="606060"/>
          <w:sz w:val="20"/>
          <w:szCs w:val="20"/>
          <w:lang w:eastAsia="ru-RU"/>
        </w:rPr>
        <w:t>Ноотропные препараты в практике педиатра и детского невролога. М., 2003, 23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Зозуля Т. В., Грачева Т. В.</w:t>
      </w:r>
      <w:r w:rsidRPr="00040312">
        <w:rPr>
          <w:rFonts w:ascii="Arial" w:eastAsia="Times New Roman" w:hAnsi="Arial" w:cs="Arial"/>
          <w:color w:val="606060"/>
          <w:sz w:val="20"/>
          <w:szCs w:val="20"/>
          <w:lang w:eastAsia="ru-RU"/>
        </w:rPr>
        <w:t xml:space="preserve"> Динамика и прогноз заболеваемости психическими расстройствами лиц старшего возраста // Журнал невропатологии и психиатрии. 2001, т. 101, № 3, с. 37–41.</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Ковалев Г. В.</w:t>
      </w:r>
      <w:r w:rsidRPr="00040312">
        <w:rPr>
          <w:rFonts w:ascii="Arial" w:eastAsia="Times New Roman" w:hAnsi="Arial" w:cs="Arial"/>
          <w:color w:val="606060"/>
          <w:sz w:val="20"/>
          <w:szCs w:val="20"/>
          <w:lang w:eastAsia="ru-RU"/>
        </w:rPr>
        <w:t xml:space="preserve"> Ноотропные средства. Волгоград, Нижне-Волжское кн. изд., 1990, 368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Крыжановский Г. Н.</w:t>
      </w:r>
      <w:r w:rsidRPr="00040312">
        <w:rPr>
          <w:rFonts w:ascii="Arial" w:eastAsia="Times New Roman" w:hAnsi="Arial" w:cs="Arial"/>
          <w:color w:val="606060"/>
          <w:sz w:val="20"/>
          <w:szCs w:val="20"/>
          <w:lang w:eastAsia="ru-RU"/>
        </w:rPr>
        <w:t xml:space="preserve"> Дизрегуляционная патология // Дизрегуляционная патология. 2002, с. 18–78.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Лебедева Н. В.</w:t>
      </w:r>
      <w:r w:rsidRPr="00040312">
        <w:rPr>
          <w:rFonts w:ascii="Arial" w:eastAsia="Times New Roman" w:hAnsi="Arial" w:cs="Arial"/>
          <w:color w:val="606060"/>
          <w:sz w:val="20"/>
          <w:szCs w:val="20"/>
          <w:lang w:eastAsia="ru-RU"/>
        </w:rPr>
        <w:t xml:space="preserve"> Энцефабол и его аналоги в лечении неврологических заболеваний. В кн.: Энцефабол: аспекты клинического применения. М., 2001, с. 27–31.</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lastRenderedPageBreak/>
        <w:t>Лебедева Н. В., Кистенев В. А., Козлова Е. Н.</w:t>
      </w:r>
      <w:r w:rsidRPr="00040312">
        <w:rPr>
          <w:rFonts w:ascii="Arial" w:eastAsia="Times New Roman" w:hAnsi="Arial" w:cs="Arial"/>
          <w:color w:val="606060"/>
          <w:sz w:val="20"/>
          <w:szCs w:val="20"/>
          <w:lang w:eastAsia="ru-RU"/>
        </w:rPr>
        <w:t xml:space="preserve"> и др. Энцефабол в комплексном лечении больных с цереброваскулярными заболеваниями. В кн.: Энцефабол: аспекты клинического применения. М., 2001, с. 14–18.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Лебединский В. В.</w:t>
      </w:r>
      <w:r w:rsidRPr="00040312">
        <w:rPr>
          <w:rFonts w:ascii="Arial" w:eastAsia="Times New Roman" w:hAnsi="Arial" w:cs="Arial"/>
          <w:color w:val="606060"/>
          <w:sz w:val="20"/>
          <w:szCs w:val="20"/>
          <w:lang w:eastAsia="ru-RU"/>
        </w:rPr>
        <w:t xml:space="preserve"> Нарушения психического развития у детей. М., 1985.</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Лебединский В. В.</w:t>
      </w:r>
      <w:r w:rsidRPr="00040312">
        <w:rPr>
          <w:rFonts w:ascii="Arial" w:eastAsia="Times New Roman" w:hAnsi="Arial" w:cs="Arial"/>
          <w:color w:val="606060"/>
          <w:sz w:val="20"/>
          <w:szCs w:val="20"/>
          <w:lang w:eastAsia="ru-RU"/>
        </w:rPr>
        <w:t xml:space="preserve"> Нарушения психического развития в детском возрасте: Учеб. пособие для студ. психол. фак. высш. учеб. заведений. М.: Издательский центр «Академия», 2003. 144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Маркова Е. Д., Инсаров Н. Г., Гурская Н. З.</w:t>
      </w:r>
      <w:r w:rsidRPr="00040312">
        <w:rPr>
          <w:rFonts w:ascii="Arial" w:eastAsia="Times New Roman" w:hAnsi="Arial" w:cs="Arial"/>
          <w:color w:val="606060"/>
          <w:sz w:val="20"/>
          <w:szCs w:val="20"/>
          <w:lang w:eastAsia="ru-RU"/>
        </w:rPr>
        <w:t xml:space="preserve"> и др. Роль Энцефабола в лечении экстрапирамидных и мозжечковых синдромов наследственной этиологии. В кн.: Энцефабол: аспекты клинического применения. М., 2001., с. 23–26.</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Маслова О. И.</w:t>
      </w:r>
      <w:r w:rsidRPr="00040312">
        <w:rPr>
          <w:rFonts w:ascii="Arial" w:eastAsia="Times New Roman" w:hAnsi="Arial" w:cs="Arial"/>
          <w:color w:val="606060"/>
          <w:sz w:val="20"/>
          <w:szCs w:val="20"/>
          <w:lang w:eastAsia="ru-RU"/>
        </w:rPr>
        <w:t xml:space="preserve"> Тактика реабилитации детей с задержками нервно-психического развития. Русский медицинский журнал. 2000, т. 8, № 18, с. 746–748.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Маслова О. И., Студеникин В. М., Балканская С. В.</w:t>
      </w:r>
      <w:r w:rsidRPr="00040312">
        <w:rPr>
          <w:rFonts w:ascii="Arial" w:eastAsia="Times New Roman" w:hAnsi="Arial" w:cs="Arial"/>
          <w:color w:val="606060"/>
          <w:sz w:val="20"/>
          <w:szCs w:val="20"/>
          <w:lang w:eastAsia="ru-RU"/>
        </w:rPr>
        <w:t xml:space="preserve"> и др. Когнитивная неврология // Российский педиатрический журнал. 2000, № 5, с. 40–41.</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Мнухин С. С.</w:t>
      </w:r>
      <w:r w:rsidRPr="00040312">
        <w:rPr>
          <w:rFonts w:ascii="Arial" w:eastAsia="Times New Roman" w:hAnsi="Arial" w:cs="Arial"/>
          <w:color w:val="606060"/>
          <w:sz w:val="20"/>
          <w:szCs w:val="20"/>
          <w:lang w:eastAsia="ru-RU"/>
        </w:rPr>
        <w:t xml:space="preserve"> О временных задержках, замедленном темпе умственного развития и психическом инфантилизме у детей. Л., 1968.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Ноткина Н. А.</w:t>
      </w:r>
      <w:r w:rsidRPr="00040312">
        <w:rPr>
          <w:rFonts w:ascii="Arial" w:eastAsia="Times New Roman" w:hAnsi="Arial" w:cs="Arial"/>
          <w:color w:val="606060"/>
          <w:sz w:val="20"/>
          <w:szCs w:val="20"/>
          <w:lang w:eastAsia="ru-RU"/>
        </w:rPr>
        <w:t xml:space="preserve"> и соавт. Оценка физического и нервно-психического развития детей раннего и дошкольного возраста. СПб: Детство-Пресс, 2008. 32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Петелин Л. С., Шток В. Н., Пигаров В. А.</w:t>
      </w:r>
      <w:r w:rsidRPr="00040312">
        <w:rPr>
          <w:rFonts w:ascii="Arial" w:eastAsia="Times New Roman" w:hAnsi="Arial" w:cs="Arial"/>
          <w:color w:val="606060"/>
          <w:sz w:val="20"/>
          <w:szCs w:val="20"/>
          <w:lang w:eastAsia="ru-RU"/>
        </w:rPr>
        <w:t xml:space="preserve"> Энцефабол в неврологической клинике // Энцефабол: аспекты клинического применения. М., 2001, с. 7–11.</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Пшенникова М. Г.</w:t>
      </w:r>
      <w:r w:rsidRPr="00040312">
        <w:rPr>
          <w:rFonts w:ascii="Arial" w:eastAsia="Times New Roman" w:hAnsi="Arial" w:cs="Arial"/>
          <w:color w:val="606060"/>
          <w:sz w:val="20"/>
          <w:szCs w:val="20"/>
          <w:lang w:eastAsia="ru-RU"/>
        </w:rPr>
        <w:t xml:space="preserve"> Стресс: регуляторные системы и устойчивость к стрессорным повреждениям // Дизрегуляционная патология. 2002, с. 307–328.</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Старение мозга / Под ред. В. В. Фролькиса. Л., Наука, 1991, 277 с.</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Amaducci L., Angst J., Bech O.</w:t>
      </w:r>
      <w:r w:rsidRPr="00040312">
        <w:rPr>
          <w:rFonts w:ascii="Arial" w:eastAsia="Times New Roman" w:hAnsi="Arial" w:cs="Arial"/>
          <w:color w:val="606060"/>
          <w:sz w:val="20"/>
          <w:szCs w:val="20"/>
          <w:lang w:eastAsia="ru-RU"/>
        </w:rPr>
        <w:t xml:space="preserve"> et al. Consensus conference on the methodology of clinical trial of «Nootropics» // Pharmacopsychiatry. 1990, v. 23, p. 171–175.</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color w:val="606060"/>
          <w:sz w:val="20"/>
          <w:szCs w:val="20"/>
          <w:lang w:eastAsia="ru-RU"/>
        </w:rPr>
        <w:t>Almquist &amp; Wiksell. Sientific studies in mild mental retardation: Epidemiology; a. prevention: Proc. of the 2 nd Europ. symp. on scientific studies in Mental Retardation, U Sweden, June 24–26, 1999. — 240 p.</w:t>
      </w:r>
    </w:p>
    <w:p w:rsidR="00040312" w:rsidRPr="00040312" w:rsidRDefault="00040312" w:rsidP="00040312">
      <w:pPr>
        <w:numPr>
          <w:ilvl w:val="0"/>
          <w:numId w:val="4"/>
        </w:numPr>
        <w:spacing w:before="100" w:beforeAutospacing="1" w:after="100" w:afterAutospacing="1" w:line="240" w:lineRule="auto"/>
        <w:rPr>
          <w:rFonts w:ascii="Arial" w:eastAsia="Times New Roman" w:hAnsi="Arial" w:cs="Arial"/>
          <w:color w:val="606060"/>
          <w:sz w:val="20"/>
          <w:szCs w:val="20"/>
          <w:lang w:eastAsia="ru-RU"/>
        </w:rPr>
      </w:pPr>
      <w:r w:rsidRPr="00040312">
        <w:rPr>
          <w:rFonts w:ascii="Arial" w:eastAsia="Times New Roman" w:hAnsi="Arial" w:cs="Arial"/>
          <w:i/>
          <w:iCs/>
          <w:color w:val="606060"/>
          <w:sz w:val="20"/>
          <w:szCs w:val="20"/>
          <w:lang w:eastAsia="ru-RU"/>
        </w:rPr>
        <w:t xml:space="preserve">Bartus R., Deen O., Beer T. </w:t>
      </w:r>
      <w:r w:rsidRPr="00040312">
        <w:rPr>
          <w:rFonts w:ascii="Arial" w:eastAsia="Times New Roman" w:hAnsi="Arial" w:cs="Arial"/>
          <w:color w:val="606060"/>
          <w:sz w:val="20"/>
          <w:szCs w:val="20"/>
          <w:lang w:eastAsia="ru-RU"/>
        </w:rPr>
        <w:t>Cholinergic hypotheses of memory dysfunction // Science. 1982, v. 217, p. 408–417.</w:t>
      </w:r>
    </w:p>
    <w:p w:rsidR="003B00A7" w:rsidRPr="0018192E" w:rsidRDefault="003B00A7">
      <w:bookmarkStart w:id="0" w:name="_GoBack"/>
      <w:bookmarkEnd w:id="0"/>
    </w:p>
    <w:sectPr w:rsidR="003B00A7" w:rsidRPr="00181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6D0"/>
    <w:multiLevelType w:val="multilevel"/>
    <w:tmpl w:val="4C18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3F27A8"/>
    <w:multiLevelType w:val="multilevel"/>
    <w:tmpl w:val="22E4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670A5"/>
    <w:multiLevelType w:val="multilevel"/>
    <w:tmpl w:val="92A4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F2B1B"/>
    <w:multiLevelType w:val="multilevel"/>
    <w:tmpl w:val="C23A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B3"/>
    <w:rsid w:val="00040312"/>
    <w:rsid w:val="0018192E"/>
    <w:rsid w:val="003B00A7"/>
    <w:rsid w:val="00A53F3F"/>
    <w:rsid w:val="00DD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3F"/>
    <w:rPr>
      <w:rFonts w:ascii="Calibri" w:hAnsi="Calibri"/>
    </w:rPr>
  </w:style>
  <w:style w:type="paragraph" w:styleId="1">
    <w:name w:val="heading 1"/>
    <w:basedOn w:val="a"/>
    <w:next w:val="a"/>
    <w:link w:val="10"/>
    <w:uiPriority w:val="9"/>
    <w:qFormat/>
    <w:rsid w:val="00A5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3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53F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F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3F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53F3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181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3F"/>
    <w:rPr>
      <w:rFonts w:ascii="Calibri" w:hAnsi="Calibri"/>
    </w:rPr>
  </w:style>
  <w:style w:type="paragraph" w:styleId="1">
    <w:name w:val="heading 1"/>
    <w:basedOn w:val="a"/>
    <w:next w:val="a"/>
    <w:link w:val="10"/>
    <w:uiPriority w:val="9"/>
    <w:qFormat/>
    <w:rsid w:val="00A5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3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53F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F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3F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53F3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181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2800">
      <w:bodyDiv w:val="1"/>
      <w:marLeft w:val="0"/>
      <w:marRight w:val="0"/>
      <w:marTop w:val="0"/>
      <w:marBottom w:val="0"/>
      <w:divBdr>
        <w:top w:val="none" w:sz="0" w:space="0" w:color="auto"/>
        <w:left w:val="none" w:sz="0" w:space="0" w:color="auto"/>
        <w:bottom w:val="none" w:sz="0" w:space="0" w:color="auto"/>
        <w:right w:val="none" w:sz="0" w:space="0" w:color="auto"/>
      </w:divBdr>
      <w:divsChild>
        <w:div w:id="69811694">
          <w:marLeft w:val="0"/>
          <w:marRight w:val="0"/>
          <w:marTop w:val="0"/>
          <w:marBottom w:val="0"/>
          <w:divBdr>
            <w:top w:val="none" w:sz="0" w:space="0" w:color="auto"/>
            <w:left w:val="none" w:sz="0" w:space="0" w:color="auto"/>
            <w:bottom w:val="none" w:sz="0" w:space="0" w:color="auto"/>
            <w:right w:val="none" w:sz="0" w:space="0" w:color="auto"/>
          </w:divBdr>
          <w:divsChild>
            <w:div w:id="1689404237">
              <w:marLeft w:val="0"/>
              <w:marRight w:val="0"/>
              <w:marTop w:val="0"/>
              <w:marBottom w:val="0"/>
              <w:divBdr>
                <w:top w:val="none" w:sz="0" w:space="0" w:color="auto"/>
                <w:left w:val="none" w:sz="0" w:space="0" w:color="auto"/>
                <w:bottom w:val="none" w:sz="0" w:space="0" w:color="auto"/>
                <w:right w:val="none" w:sz="0" w:space="0" w:color="auto"/>
              </w:divBdr>
              <w:divsChild>
                <w:div w:id="1450972915">
                  <w:marLeft w:val="0"/>
                  <w:marRight w:val="0"/>
                  <w:marTop w:val="0"/>
                  <w:marBottom w:val="0"/>
                  <w:divBdr>
                    <w:top w:val="none" w:sz="0" w:space="0" w:color="auto"/>
                    <w:left w:val="none" w:sz="0" w:space="0" w:color="auto"/>
                    <w:bottom w:val="none" w:sz="0" w:space="0" w:color="auto"/>
                    <w:right w:val="none" w:sz="0" w:space="0" w:color="auto"/>
                  </w:divBdr>
                  <w:divsChild>
                    <w:div w:id="925387470">
                      <w:marLeft w:val="0"/>
                      <w:marRight w:val="0"/>
                      <w:marTop w:val="0"/>
                      <w:marBottom w:val="0"/>
                      <w:divBdr>
                        <w:top w:val="none" w:sz="0" w:space="0" w:color="auto"/>
                        <w:left w:val="none" w:sz="0" w:space="0" w:color="auto"/>
                        <w:bottom w:val="none" w:sz="0" w:space="0" w:color="auto"/>
                        <w:right w:val="none" w:sz="0" w:space="0" w:color="auto"/>
                      </w:divBdr>
                      <w:divsChild>
                        <w:div w:id="6912040">
                          <w:marLeft w:val="0"/>
                          <w:marRight w:val="3000"/>
                          <w:marTop w:val="0"/>
                          <w:marBottom w:val="0"/>
                          <w:divBdr>
                            <w:top w:val="none" w:sz="0" w:space="0" w:color="auto"/>
                            <w:left w:val="none" w:sz="0" w:space="0" w:color="auto"/>
                            <w:bottom w:val="none" w:sz="0" w:space="0" w:color="auto"/>
                            <w:right w:val="none" w:sz="0" w:space="0" w:color="auto"/>
                          </w:divBdr>
                          <w:divsChild>
                            <w:div w:id="270170504">
                              <w:marLeft w:val="0"/>
                              <w:marRight w:val="0"/>
                              <w:marTop w:val="0"/>
                              <w:marBottom w:val="0"/>
                              <w:divBdr>
                                <w:top w:val="none" w:sz="0" w:space="0" w:color="auto"/>
                                <w:left w:val="none" w:sz="0" w:space="0" w:color="auto"/>
                                <w:bottom w:val="none" w:sz="0" w:space="0" w:color="auto"/>
                                <w:right w:val="none" w:sz="0" w:space="0" w:color="auto"/>
                              </w:divBdr>
                              <w:divsChild>
                                <w:div w:id="865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ach.ru/2011/09/10640044/" TargetMode="External"/><Relationship Id="rId13" Type="http://schemas.openxmlformats.org/officeDocument/2006/relationships/hyperlink" Target="http://www.lvrach.ru/1998/06/452722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vrach.ru/2014/06/15435988/" TargetMode="External"/><Relationship Id="rId12" Type="http://schemas.openxmlformats.org/officeDocument/2006/relationships/hyperlink" Target="http://www.lvrach.ru/2004/06/45313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vrach.ru/FileStorage/ARTICLE/Lechacshij_vrach/2011-06/05_11/13108385/Lechacshij_vrach_056_(353).gif" TargetMode="External"/><Relationship Id="rId1" Type="http://schemas.openxmlformats.org/officeDocument/2006/relationships/numbering" Target="numbering.xml"/><Relationship Id="rId6" Type="http://schemas.openxmlformats.org/officeDocument/2006/relationships/hyperlink" Target="http://www.lvrach.ru/2011/08/15435256/" TargetMode="External"/><Relationship Id="rId11" Type="http://schemas.openxmlformats.org/officeDocument/2006/relationships/hyperlink" Target="http://www.lvrach.ru/2005/08/4532910/" TargetMode="External"/><Relationship Id="rId5" Type="http://schemas.openxmlformats.org/officeDocument/2006/relationships/webSettings" Target="webSettings.xml"/><Relationship Id="rId15" Type="http://schemas.openxmlformats.org/officeDocument/2006/relationships/hyperlink" Target="http://www.lvrach.ru/2014/06/15435988/" TargetMode="External"/><Relationship Id="rId10" Type="http://schemas.openxmlformats.org/officeDocument/2006/relationships/hyperlink" Target="http://www.lvrach.ru/2001/10/4529134/" TargetMode="External"/><Relationship Id="rId4" Type="http://schemas.openxmlformats.org/officeDocument/2006/relationships/settings" Target="settings.xml"/><Relationship Id="rId9" Type="http://schemas.openxmlformats.org/officeDocument/2006/relationships/hyperlink" Target="http://www.lvrach.ru/2009/01/5898104/" TargetMode="External"/><Relationship Id="rId14" Type="http://schemas.openxmlformats.org/officeDocument/2006/relationships/hyperlink" Target="http://www.lvrach.ru/2014/06/15435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3657</Words>
  <Characters>20846</Characters>
  <Application>Microsoft Office Word</Application>
  <DocSecurity>0</DocSecurity>
  <Lines>173</Lines>
  <Paragraphs>48</Paragraphs>
  <ScaleCrop>false</ScaleCrop>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2015-02-20T13:10:00Z</dcterms:created>
  <dcterms:modified xsi:type="dcterms:W3CDTF">2015-02-20T13:14:00Z</dcterms:modified>
</cp:coreProperties>
</file>