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r>
        <w:rPr>
          <w:rFonts w:ascii="Times New Roman" w:hAnsi="Times New Roman" w:cs="Times New Roman"/>
          <w:sz w:val="36"/>
          <w:szCs w:val="36"/>
        </w:rPr>
        <w:t>Консультация на тему:</w:t>
      </w:r>
    </w:p>
    <w:p w:rsidR="00457D08" w:rsidRDefault="00457D08" w:rsidP="00457D08">
      <w:pPr>
        <w:jc w:val="center"/>
        <w:rPr>
          <w:rFonts w:ascii="Times New Roman" w:hAnsi="Times New Roman" w:cs="Times New Roman"/>
          <w:sz w:val="36"/>
          <w:szCs w:val="36"/>
        </w:rPr>
      </w:pPr>
      <w:r>
        <w:rPr>
          <w:rFonts w:ascii="Times New Roman" w:hAnsi="Times New Roman" w:cs="Times New Roman"/>
          <w:sz w:val="36"/>
          <w:szCs w:val="36"/>
        </w:rPr>
        <w:t xml:space="preserve">«Требования </w:t>
      </w:r>
    </w:p>
    <w:p w:rsidR="00457D08" w:rsidRDefault="00457D08" w:rsidP="00457D08">
      <w:pPr>
        <w:jc w:val="center"/>
        <w:rPr>
          <w:rFonts w:ascii="Times New Roman" w:hAnsi="Times New Roman" w:cs="Times New Roman"/>
          <w:sz w:val="36"/>
          <w:szCs w:val="36"/>
        </w:rPr>
      </w:pPr>
      <w:r>
        <w:rPr>
          <w:rFonts w:ascii="Times New Roman" w:hAnsi="Times New Roman" w:cs="Times New Roman"/>
          <w:sz w:val="36"/>
          <w:szCs w:val="36"/>
        </w:rPr>
        <w:t xml:space="preserve">к развивающей предметно – пространственной </w:t>
      </w:r>
    </w:p>
    <w:p w:rsidR="00457D08" w:rsidRDefault="00457D08" w:rsidP="00457D08">
      <w:pPr>
        <w:jc w:val="center"/>
        <w:rPr>
          <w:rFonts w:ascii="Times New Roman" w:hAnsi="Times New Roman" w:cs="Times New Roman"/>
          <w:sz w:val="36"/>
          <w:szCs w:val="36"/>
        </w:rPr>
      </w:pPr>
      <w:r>
        <w:rPr>
          <w:rFonts w:ascii="Times New Roman" w:hAnsi="Times New Roman" w:cs="Times New Roman"/>
          <w:sz w:val="36"/>
          <w:szCs w:val="36"/>
        </w:rPr>
        <w:t>среде».</w:t>
      </w: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right"/>
        <w:rPr>
          <w:rFonts w:ascii="Times New Roman" w:hAnsi="Times New Roman" w:cs="Times New Roman"/>
          <w:sz w:val="36"/>
          <w:szCs w:val="36"/>
        </w:rPr>
      </w:pPr>
      <w:r>
        <w:rPr>
          <w:rFonts w:ascii="Times New Roman" w:hAnsi="Times New Roman" w:cs="Times New Roman"/>
          <w:sz w:val="36"/>
          <w:szCs w:val="36"/>
        </w:rPr>
        <w:t>Воспитатель:</w:t>
      </w:r>
    </w:p>
    <w:p w:rsidR="00457D08" w:rsidRDefault="00457D08" w:rsidP="00457D08">
      <w:pPr>
        <w:jc w:val="right"/>
        <w:rPr>
          <w:rFonts w:ascii="Times New Roman" w:hAnsi="Times New Roman" w:cs="Times New Roman"/>
          <w:sz w:val="36"/>
          <w:szCs w:val="36"/>
        </w:rPr>
      </w:pPr>
      <w:r>
        <w:rPr>
          <w:rFonts w:ascii="Times New Roman" w:hAnsi="Times New Roman" w:cs="Times New Roman"/>
          <w:sz w:val="36"/>
          <w:szCs w:val="36"/>
        </w:rPr>
        <w:t>Байракова Ольга Алексеевна</w:t>
      </w: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457D08" w:rsidP="00457D08">
      <w:pPr>
        <w:rPr>
          <w:rFonts w:ascii="Times New Roman" w:hAnsi="Times New Roman" w:cs="Times New Roman"/>
          <w:sz w:val="36"/>
          <w:szCs w:val="36"/>
        </w:rPr>
      </w:pPr>
    </w:p>
    <w:p w:rsidR="00457D08" w:rsidRDefault="00457D08" w:rsidP="00457D08">
      <w:pPr>
        <w:jc w:val="center"/>
        <w:rPr>
          <w:rFonts w:ascii="Times New Roman" w:hAnsi="Times New Roman" w:cs="Times New Roman"/>
          <w:sz w:val="36"/>
          <w:szCs w:val="36"/>
        </w:rPr>
      </w:pPr>
    </w:p>
    <w:p w:rsidR="00457D08" w:rsidRDefault="005E76C2" w:rsidP="00457D08">
      <w:pPr>
        <w:jc w:val="center"/>
        <w:rPr>
          <w:rFonts w:ascii="Times New Roman" w:hAnsi="Times New Roman" w:cs="Times New Roman"/>
          <w:sz w:val="36"/>
          <w:szCs w:val="36"/>
        </w:rPr>
      </w:pPr>
      <w:r>
        <w:rPr>
          <w:rFonts w:ascii="Times New Roman" w:hAnsi="Times New Roman" w:cs="Times New Roman"/>
          <w:sz w:val="36"/>
          <w:szCs w:val="36"/>
        </w:rPr>
        <w:t>201</w:t>
      </w:r>
      <w:r w:rsidRPr="005E76C2">
        <w:rPr>
          <w:rFonts w:ascii="Times New Roman" w:hAnsi="Times New Roman" w:cs="Times New Roman"/>
          <w:sz w:val="36"/>
          <w:szCs w:val="36"/>
        </w:rPr>
        <w:t>4</w:t>
      </w:r>
      <w:r w:rsidR="00FA53CA">
        <w:rPr>
          <w:rFonts w:ascii="Times New Roman" w:hAnsi="Times New Roman" w:cs="Times New Roman"/>
          <w:sz w:val="36"/>
          <w:szCs w:val="36"/>
        </w:rPr>
        <w:t xml:space="preserve"> г.</w:t>
      </w:r>
    </w:p>
    <w:p w:rsidR="00B62CF7" w:rsidRDefault="00457D08" w:rsidP="00457D08">
      <w:pPr>
        <w:jc w:val="center"/>
        <w:rPr>
          <w:rFonts w:ascii="Times New Roman" w:hAnsi="Times New Roman" w:cs="Times New Roman"/>
          <w:sz w:val="36"/>
          <w:szCs w:val="36"/>
        </w:rPr>
      </w:pPr>
      <w:r w:rsidRPr="00457D08">
        <w:rPr>
          <w:rFonts w:ascii="Times New Roman" w:hAnsi="Times New Roman" w:cs="Times New Roman"/>
          <w:sz w:val="36"/>
          <w:szCs w:val="36"/>
        </w:rPr>
        <w:lastRenderedPageBreak/>
        <w:t>Организация предметно – развивающей среды.</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Предметно-развивающая среда – это система материальных объектов деятельности ребенка, единство социальных и предметных средств обеспечения разнообразной деятельности детей.</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При организации предметно-пространственной среды в детском саду необходима деятельность всех педагогов ДОУ. Ведь разнообразие игрушек не является основным условием развития детей.</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Создавая “среду обитания” для воспитанников необходимо, прежде всего, уделять внимание ее развивающему характеру. Предметный мир должен обеспечить реализацию потребности ребенка в активной и разноплановой деятельности.</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самостоятельности, инициативности, в ней дети реализуют свои способности.</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состав предметно-игровой среды входят:</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крупное организующее игровое поле;</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игровое оборудование;</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игрушки;</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игровая атрибутика разного рода;</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игровые материалы.</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Все эти игровые средства находятся обычно не в каком-то абстрактном игровом пространстве, а в групповой комнате, игровом зале, на площадке (веранде) участка детского сада.</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Создавая развивающую среду группы, очень важно, чтобы окружающая детей обстановка была комфортной и эстетичной. Красота формирует ребенка. Поэтому следует уделять большое внимание эстетике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отношение к игрушкам.</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xml:space="preserve"> Особое место в предметном мире ребенка занимает игрушка. Она является другом, партнером в игре, собеседником. </w:t>
      </w:r>
      <w:proofErr w:type="spellStart"/>
      <w:r w:rsidRPr="00457D08">
        <w:rPr>
          <w:rFonts w:ascii="Times New Roman" w:eastAsia="Times New Roman" w:hAnsi="Times New Roman" w:cs="Times New Roman"/>
          <w:color w:val="2A2B27"/>
          <w:sz w:val="24"/>
          <w:szCs w:val="24"/>
          <w:lang w:eastAsia="ru-RU"/>
        </w:rPr>
        <w:t>Куклотерапия</w:t>
      </w:r>
      <w:proofErr w:type="spellEnd"/>
      <w:r w:rsidRPr="00457D08">
        <w:rPr>
          <w:rFonts w:ascii="Times New Roman" w:eastAsia="Times New Roman" w:hAnsi="Times New Roman" w:cs="Times New Roman"/>
          <w:color w:val="2A2B27"/>
          <w:sz w:val="24"/>
          <w:szCs w:val="24"/>
          <w:lang w:eastAsia="ru-RU"/>
        </w:rPr>
        <w:t xml:space="preserve"> позволяет решать такие важные задачи, как преодоление неуверенности, стеснительности, достижение эмоциональной устойчивости и </w:t>
      </w:r>
      <w:proofErr w:type="spellStart"/>
      <w:r w:rsidRPr="00457D08">
        <w:rPr>
          <w:rFonts w:ascii="Times New Roman" w:eastAsia="Times New Roman" w:hAnsi="Times New Roman" w:cs="Times New Roman"/>
          <w:color w:val="2A2B27"/>
          <w:sz w:val="24"/>
          <w:szCs w:val="24"/>
          <w:lang w:eastAsia="ru-RU"/>
        </w:rPr>
        <w:t>саморегуляции</w:t>
      </w:r>
      <w:proofErr w:type="spellEnd"/>
      <w:r w:rsidRPr="00457D08">
        <w:rPr>
          <w:rFonts w:ascii="Times New Roman" w:eastAsia="Times New Roman" w:hAnsi="Times New Roman" w:cs="Times New Roman"/>
          <w:color w:val="2A2B27"/>
          <w:sz w:val="24"/>
          <w:szCs w:val="24"/>
          <w:lang w:eastAsia="ru-RU"/>
        </w:rPr>
        <w:t>.</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xml:space="preserve"> Игра и игрушка </w:t>
      </w:r>
      <w:proofErr w:type="gramStart"/>
      <w:r w:rsidRPr="00457D08">
        <w:rPr>
          <w:rFonts w:ascii="Times New Roman" w:eastAsia="Times New Roman" w:hAnsi="Times New Roman" w:cs="Times New Roman"/>
          <w:color w:val="2A2B27"/>
          <w:sz w:val="24"/>
          <w:szCs w:val="24"/>
          <w:lang w:eastAsia="ru-RU"/>
        </w:rPr>
        <w:t>неотделимы</w:t>
      </w:r>
      <w:proofErr w:type="gramEnd"/>
      <w:r w:rsidRPr="00457D08">
        <w:rPr>
          <w:rFonts w:ascii="Times New Roman" w:eastAsia="Times New Roman" w:hAnsi="Times New Roman" w:cs="Times New Roman"/>
          <w:color w:val="2A2B27"/>
          <w:sz w:val="24"/>
          <w:szCs w:val="24"/>
          <w:lang w:eastAsia="ru-RU"/>
        </w:rPr>
        <w:t xml:space="preserve"> друг от друга. Игрушка может вызвать к жизни игру, а игра, развиваясь, требует все новых и новых игрушек. Игрушка в познавательном отношении выступает для ребенка в качестве своеобразного обобщенного эталона окружающей материальной действительности. Игрушки могут быть самыми разнообразными по теме и художественному содержанию, но все они должны отвечать определенным педагогическим требованиям. </w:t>
      </w:r>
      <w:proofErr w:type="gramStart"/>
      <w:r w:rsidRPr="00457D08">
        <w:rPr>
          <w:rFonts w:ascii="Times New Roman" w:eastAsia="Times New Roman" w:hAnsi="Times New Roman" w:cs="Times New Roman"/>
          <w:color w:val="2A2B27"/>
          <w:sz w:val="24"/>
          <w:szCs w:val="24"/>
          <w:lang w:eastAsia="ru-RU"/>
        </w:rPr>
        <w:t xml:space="preserve">Главнейшие из этих требований относятся к возрастной </w:t>
      </w:r>
      <w:proofErr w:type="spellStart"/>
      <w:r w:rsidRPr="00457D08">
        <w:rPr>
          <w:rFonts w:ascii="Times New Roman" w:eastAsia="Times New Roman" w:hAnsi="Times New Roman" w:cs="Times New Roman"/>
          <w:color w:val="2A2B27"/>
          <w:sz w:val="24"/>
          <w:szCs w:val="24"/>
          <w:lang w:eastAsia="ru-RU"/>
        </w:rPr>
        <w:t>адресованности</w:t>
      </w:r>
      <w:proofErr w:type="spellEnd"/>
      <w:r w:rsidRPr="00457D08">
        <w:rPr>
          <w:rFonts w:ascii="Times New Roman" w:eastAsia="Times New Roman" w:hAnsi="Times New Roman" w:cs="Times New Roman"/>
          <w:color w:val="2A2B27"/>
          <w:sz w:val="24"/>
          <w:szCs w:val="24"/>
          <w:lang w:eastAsia="ru-RU"/>
        </w:rPr>
        <w:t xml:space="preserve"> и соответствию игрушек разным видам игр.</w:t>
      </w:r>
      <w:proofErr w:type="gramEnd"/>
      <w:r w:rsidRPr="00457D08">
        <w:rPr>
          <w:rFonts w:ascii="Times New Roman" w:eastAsia="Times New Roman" w:hAnsi="Times New Roman" w:cs="Times New Roman"/>
          <w:color w:val="2A2B27"/>
          <w:sz w:val="24"/>
          <w:szCs w:val="24"/>
          <w:lang w:eastAsia="ru-RU"/>
        </w:rPr>
        <w:t xml:space="preserve"> В каждом возрасте ребенку нужны различные по своей тематике и назначению игрушки: сюжетные, технические, игрушки-орудия труда, игрушки-забавы, театральные, музыкальные, спортивные. </w:t>
      </w:r>
      <w:proofErr w:type="gramStart"/>
      <w:r w:rsidRPr="00457D08">
        <w:rPr>
          <w:rFonts w:ascii="Times New Roman" w:eastAsia="Times New Roman" w:hAnsi="Times New Roman" w:cs="Times New Roman"/>
          <w:color w:val="2A2B27"/>
          <w:sz w:val="24"/>
          <w:szCs w:val="24"/>
          <w:lang w:eastAsia="ru-RU"/>
        </w:rPr>
        <w:t xml:space="preserve">Для развития активности и самостоятельности необходимы игрушки, которые позволяют ярко выделить специфические функции настоящих предметов, важен масштаб игрушек, </w:t>
      </w:r>
      <w:r w:rsidRPr="00457D08">
        <w:rPr>
          <w:rFonts w:ascii="Times New Roman" w:eastAsia="Times New Roman" w:hAnsi="Times New Roman" w:cs="Times New Roman"/>
          <w:color w:val="2A2B27"/>
          <w:sz w:val="24"/>
          <w:szCs w:val="24"/>
          <w:lang w:eastAsia="ru-RU"/>
        </w:rPr>
        <w:lastRenderedPageBreak/>
        <w:t>их соответствие размерам руки ребенка (для таких игрушек, как ложка, тарелка, утюг, телефон и т.п.), его росту (кукольная мебель, машины, коляски и т.п.), игрушки-партнеры (куклы, мишки и т.д.).</w:t>
      </w:r>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Одна из задач воспитателя -  создать для каждого ребенка  разностороннюю развивающую среду, чтобы дать ему возможность проявить себя.</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Групповая комната представляет собой помещение прямоугольной формы, по периметру которого располагается мебель, детские столики для занятий, настольных игр, приема пищи. Часть игровых уголков находится на ковре, предназначенном для свободной деятельности детей, часть уголков – на стеллажах.  Остальные помещения групповой комнаты – спальня, раздевалка – не включаются в групповое пространство.</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группе можно организовать центр уединения – за ширмой, где дети могут полистать любимую книжку, и просто посидеть и отдохнуть от детского коллектива.  Этим простым способом достигается создание “своего” личного пространства.</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группах должен быть специальный игровой уголок,  оборудованный по принципу подбора игр по игровым зонам: “Больница”, “Магазин”, “Кухня”, “Столовая”, “Спальня”, “Парикмахерская”, “Ателье”, “Почта”. В отдельных нижних ящиках находится строительный материал, которым дети с удовольствием пользуются во время игры.</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игровых центрах находятся все атрибуты по данной теме. Например, для игры в: “Больницу” в наличии должны быть халат, и медицинские приборы (инструменты), всевозможные пузыречки и коробочки от таблеток;</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proofErr w:type="gramStart"/>
      <w:r w:rsidRPr="00457D08">
        <w:rPr>
          <w:rFonts w:ascii="Times New Roman" w:eastAsia="Times New Roman" w:hAnsi="Times New Roman" w:cs="Times New Roman"/>
          <w:color w:val="2A2B27"/>
          <w:sz w:val="24"/>
          <w:szCs w:val="24"/>
          <w:lang w:eastAsia="ru-RU"/>
        </w:rPr>
        <w:t>для игры в “магазин” – халат, кассовый аппарат, игрушечные деньги, весы, гири, изготовленные из папье-маше, пластмассовые фрукты, и овощи,  всевозможные конфеты, пирожные из теста, колбаса из деревянных брусочков и т.д.,</w:t>
      </w:r>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для  уголка дорожного движения – различные машины, дорожные знаки,</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proofErr w:type="gramStart"/>
      <w:r w:rsidRPr="00457D08">
        <w:rPr>
          <w:rFonts w:ascii="Times New Roman" w:eastAsia="Times New Roman" w:hAnsi="Times New Roman" w:cs="Times New Roman"/>
          <w:color w:val="2A2B27"/>
          <w:sz w:val="24"/>
          <w:szCs w:val="24"/>
          <w:lang w:eastAsia="ru-RU"/>
        </w:rPr>
        <w:t>для игры в “Парикмахерскую” – пелеринки, парикмахерские наборы (инструменты), флакончики, коробочки, фотографии с модельными стрижками;</w:t>
      </w:r>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для уголка “Ателье” – швейная машинка, образцы тканей, пуговицы, альбом с моделями одежды;</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для уголка “Почта” – штемпели, квитанции, почтовый ящик;</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в уголке по художественной деятельности – книжный уголок – книжки, литературные игры-викторины, сюжетные картинки, портреты писателей и поэтов</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xml:space="preserve">уголок </w:t>
      </w:r>
      <w:proofErr w:type="spellStart"/>
      <w:r w:rsidRPr="00457D08">
        <w:rPr>
          <w:rFonts w:ascii="Times New Roman" w:eastAsia="Times New Roman" w:hAnsi="Times New Roman" w:cs="Times New Roman"/>
          <w:color w:val="2A2B27"/>
          <w:sz w:val="24"/>
          <w:szCs w:val="24"/>
          <w:lang w:eastAsia="ru-RU"/>
        </w:rPr>
        <w:t>ИЗО-деятельности</w:t>
      </w:r>
      <w:proofErr w:type="spellEnd"/>
      <w:r w:rsidRPr="00457D08">
        <w:rPr>
          <w:rFonts w:ascii="Times New Roman" w:eastAsia="Times New Roman" w:hAnsi="Times New Roman" w:cs="Times New Roman"/>
          <w:color w:val="2A2B27"/>
          <w:sz w:val="24"/>
          <w:szCs w:val="24"/>
          <w:lang w:eastAsia="ru-RU"/>
        </w:rPr>
        <w:t xml:space="preserve"> – оснащен необходимым материалом для развития творческих способностей детей: краски, гуашь, цветные карандаши, раскраски, бумага для рисования, цветная бумага, картон и т.д.</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lastRenderedPageBreak/>
        <w:t>уголок театрально-игровой деятельности оснащен – ширмой для кукольного театра, театральными игрушками, персонажами пальчикового театра; куклами-марионетками</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уголок музыкальной деятельности содержит – музыкальные инструменты, различные музыкальные дидактические игры</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xml:space="preserve">уголок сенсорного воспитания содержит различные вкладыши, шнуровки, пособия для развития тактильной памяти, ознакомления с цветовой гаммой и </w:t>
      </w:r>
      <w:proofErr w:type="spellStart"/>
      <w:r w:rsidRPr="00457D08">
        <w:rPr>
          <w:rFonts w:ascii="Times New Roman" w:eastAsia="Times New Roman" w:hAnsi="Times New Roman" w:cs="Times New Roman"/>
          <w:color w:val="2A2B27"/>
          <w:sz w:val="24"/>
          <w:szCs w:val="24"/>
          <w:lang w:eastAsia="ru-RU"/>
        </w:rPr>
        <w:t>т</w:t>
      </w:r>
      <w:proofErr w:type="gramStart"/>
      <w:r w:rsidRPr="00457D08">
        <w:rPr>
          <w:rFonts w:ascii="Times New Roman" w:eastAsia="Times New Roman" w:hAnsi="Times New Roman" w:cs="Times New Roman"/>
          <w:color w:val="2A2B27"/>
          <w:sz w:val="24"/>
          <w:szCs w:val="24"/>
          <w:lang w:eastAsia="ru-RU"/>
        </w:rPr>
        <w:t>.д</w:t>
      </w:r>
      <w:proofErr w:type="spellEnd"/>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proofErr w:type="gramStart"/>
      <w:r w:rsidRPr="00457D08">
        <w:rPr>
          <w:rFonts w:ascii="Times New Roman" w:eastAsia="Times New Roman" w:hAnsi="Times New Roman" w:cs="Times New Roman"/>
          <w:color w:val="2A2B27"/>
          <w:sz w:val="24"/>
          <w:szCs w:val="24"/>
          <w:lang w:eastAsia="ru-RU"/>
        </w:rPr>
        <w:t>спортивный уголок содержит спортивный инвентарь: скакалки, мячи, кегли, бубны, погремушки, султанчики, атрибуты для спортивных игр, соответственно возрасту, в коробках или папках.</w:t>
      </w:r>
      <w:proofErr w:type="gramEnd"/>
      <w:r w:rsidRPr="00457D08">
        <w:rPr>
          <w:rFonts w:ascii="Times New Roman" w:eastAsia="Times New Roman" w:hAnsi="Times New Roman" w:cs="Times New Roman"/>
          <w:color w:val="2A2B27"/>
          <w:sz w:val="24"/>
          <w:szCs w:val="24"/>
          <w:lang w:eastAsia="ru-RU"/>
        </w:rPr>
        <w:t xml:space="preserve"> Он может находиться как в групповой комнате, так и в раздевалке</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proofErr w:type="gramStart"/>
      <w:r w:rsidRPr="00457D08">
        <w:rPr>
          <w:rFonts w:ascii="Times New Roman" w:eastAsia="Times New Roman" w:hAnsi="Times New Roman" w:cs="Times New Roman"/>
          <w:color w:val="2A2B27"/>
          <w:sz w:val="24"/>
          <w:szCs w:val="24"/>
          <w:lang w:eastAsia="ru-RU"/>
        </w:rPr>
        <w:t>также разнообразные сюжетные игрушки (куклы, зверюшки, посуда, штурвалы, рули, телефоны), различные предметы-заместители, которыми ребята восполняют недостающие сюжетные игрушки.</w:t>
      </w:r>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Также нужны мелкие игрушки в таких уголках, как:</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зоопарк</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сельский дворик</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дорожное движение</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городок – в ясельных и младших группах</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proofErr w:type="gramStart"/>
      <w:r w:rsidRPr="00457D08">
        <w:rPr>
          <w:rFonts w:ascii="Times New Roman" w:eastAsia="Times New Roman" w:hAnsi="Times New Roman" w:cs="Times New Roman"/>
          <w:color w:val="2A2B27"/>
          <w:sz w:val="24"/>
          <w:szCs w:val="24"/>
          <w:lang w:eastAsia="ru-RU"/>
        </w:rPr>
        <w:t>математический</w:t>
      </w:r>
      <w:proofErr w:type="gramEnd"/>
      <w:r w:rsidRPr="00457D08">
        <w:rPr>
          <w:rFonts w:ascii="Times New Roman" w:eastAsia="Times New Roman" w:hAnsi="Times New Roman" w:cs="Times New Roman"/>
          <w:color w:val="2A2B27"/>
          <w:sz w:val="24"/>
          <w:szCs w:val="24"/>
          <w:lang w:eastAsia="ru-RU"/>
        </w:rPr>
        <w:t xml:space="preserve"> – в старшей и подготовительной группах</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 xml:space="preserve">уголок </w:t>
      </w:r>
      <w:proofErr w:type="gramStart"/>
      <w:r w:rsidRPr="00457D08">
        <w:rPr>
          <w:rFonts w:ascii="Times New Roman" w:eastAsia="Times New Roman" w:hAnsi="Times New Roman" w:cs="Times New Roman"/>
          <w:color w:val="2A2B27"/>
          <w:sz w:val="24"/>
          <w:szCs w:val="24"/>
          <w:lang w:eastAsia="ru-RU"/>
        </w:rPr>
        <w:t>школы</w:t>
      </w:r>
      <w:proofErr w:type="gramEnd"/>
      <w:r w:rsidRPr="00457D08">
        <w:rPr>
          <w:rFonts w:ascii="Times New Roman" w:eastAsia="Times New Roman" w:hAnsi="Times New Roman" w:cs="Times New Roman"/>
          <w:color w:val="2A2B27"/>
          <w:sz w:val="24"/>
          <w:szCs w:val="24"/>
          <w:lang w:eastAsia="ru-RU"/>
        </w:rPr>
        <w:t xml:space="preserve"> – в подготовительной группе – </w:t>
      </w:r>
      <w:proofErr w:type="gramStart"/>
      <w:r w:rsidRPr="00457D08">
        <w:rPr>
          <w:rFonts w:ascii="Times New Roman" w:eastAsia="Times New Roman" w:hAnsi="Times New Roman" w:cs="Times New Roman"/>
          <w:color w:val="2A2B27"/>
          <w:sz w:val="24"/>
          <w:szCs w:val="24"/>
          <w:lang w:eastAsia="ru-RU"/>
        </w:rPr>
        <w:t>которые</w:t>
      </w:r>
      <w:proofErr w:type="gramEnd"/>
      <w:r w:rsidRPr="00457D08">
        <w:rPr>
          <w:rFonts w:ascii="Times New Roman" w:eastAsia="Times New Roman" w:hAnsi="Times New Roman" w:cs="Times New Roman"/>
          <w:color w:val="2A2B27"/>
          <w:sz w:val="24"/>
          <w:szCs w:val="24"/>
          <w:lang w:eastAsia="ru-RU"/>
        </w:rPr>
        <w:t xml:space="preserve"> ребенок может взять в любое удобное место.</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Также в каждой группе должен быть уголок настольных и дидактических игр</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Большое количество игрового оборудования и материалов для творческой деятельности должно быть сделано  руками воспитателей.</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Предметно-игровая среда групп детского сада должна быть организована таким образом, чтобы каждый ребенок имел возможность заниматься любимым делом.</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В предметно-пространственную среду каждой группы включены не только искусственные объекты, но и естественные, природные. Кроме центров природы в группах, где дети наблюдают и ухаживают за растениями, в старших группах необходимо оборудовать центры экспериментирования, для проведения элементарных опытов, экспериментов.</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Обобщать результаты своих наблюдений за объектами природы дети учатся при ведении календаря погоды. Если в младшем возрасте на нем отмечаются лишь основные явления погоды (дождь, снег, солнце, ветер), то в старшем, происходит его усложнение.</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В каждой приемной комнате для родителей организуется «Уголок для родителей», в котором должно быть:</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режим, по которому живет группа;</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сетка занятий, соответствующая возрасту и программе обучения и воспитания дошкольников.</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меню (вывешивается на 2 дня – сегодня и завтра);</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lastRenderedPageBreak/>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антропометрические данные “Мы растем”;</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состав родительского комитета, с указанием ФИО родителей, председателя род</w:t>
      </w:r>
      <w:proofErr w:type="gramStart"/>
      <w:r w:rsidRPr="00457D08">
        <w:rPr>
          <w:rFonts w:ascii="Times New Roman" w:eastAsia="Times New Roman" w:hAnsi="Times New Roman" w:cs="Times New Roman"/>
          <w:color w:val="2A2B27"/>
          <w:sz w:val="24"/>
          <w:szCs w:val="24"/>
          <w:lang w:eastAsia="ru-RU"/>
        </w:rPr>
        <w:t>.</w:t>
      </w:r>
      <w:proofErr w:type="gramEnd"/>
      <w:r w:rsidRPr="00457D08">
        <w:rPr>
          <w:rFonts w:ascii="Times New Roman" w:eastAsia="Times New Roman" w:hAnsi="Times New Roman" w:cs="Times New Roman"/>
          <w:color w:val="2A2B27"/>
          <w:sz w:val="24"/>
          <w:szCs w:val="24"/>
          <w:lang w:eastAsia="ru-RU"/>
        </w:rPr>
        <w:t xml:space="preserve"> </w:t>
      </w:r>
      <w:proofErr w:type="gramStart"/>
      <w:r w:rsidRPr="00457D08">
        <w:rPr>
          <w:rFonts w:ascii="Times New Roman" w:eastAsia="Times New Roman" w:hAnsi="Times New Roman" w:cs="Times New Roman"/>
          <w:color w:val="2A2B27"/>
          <w:sz w:val="24"/>
          <w:szCs w:val="24"/>
          <w:lang w:eastAsia="ru-RU"/>
        </w:rPr>
        <w:t>к</w:t>
      </w:r>
      <w:proofErr w:type="gramEnd"/>
      <w:r w:rsidRPr="00457D08">
        <w:rPr>
          <w:rFonts w:ascii="Times New Roman" w:eastAsia="Times New Roman" w:hAnsi="Times New Roman" w:cs="Times New Roman"/>
          <w:color w:val="2A2B27"/>
          <w:sz w:val="24"/>
          <w:szCs w:val="24"/>
          <w:lang w:eastAsia="ru-RU"/>
        </w:rPr>
        <w:t>омитета, N телефонов;</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отчет род</w:t>
      </w:r>
      <w:proofErr w:type="gramStart"/>
      <w:r w:rsidRPr="00457D08">
        <w:rPr>
          <w:rFonts w:ascii="Times New Roman" w:eastAsia="Times New Roman" w:hAnsi="Times New Roman" w:cs="Times New Roman"/>
          <w:color w:val="2A2B27"/>
          <w:sz w:val="24"/>
          <w:szCs w:val="24"/>
          <w:lang w:eastAsia="ru-RU"/>
        </w:rPr>
        <w:t>.</w:t>
      </w:r>
      <w:proofErr w:type="gramEnd"/>
      <w:r w:rsidRPr="00457D08">
        <w:rPr>
          <w:rFonts w:ascii="Times New Roman" w:eastAsia="Times New Roman" w:hAnsi="Times New Roman" w:cs="Times New Roman"/>
          <w:color w:val="2A2B27"/>
          <w:sz w:val="24"/>
          <w:szCs w:val="24"/>
          <w:lang w:eastAsia="ru-RU"/>
        </w:rPr>
        <w:t xml:space="preserve"> </w:t>
      </w:r>
      <w:proofErr w:type="gramStart"/>
      <w:r w:rsidRPr="00457D08">
        <w:rPr>
          <w:rFonts w:ascii="Times New Roman" w:eastAsia="Times New Roman" w:hAnsi="Times New Roman" w:cs="Times New Roman"/>
          <w:color w:val="2A2B27"/>
          <w:sz w:val="24"/>
          <w:szCs w:val="24"/>
          <w:lang w:eastAsia="ru-RU"/>
        </w:rPr>
        <w:t>к</w:t>
      </w:r>
      <w:proofErr w:type="gramEnd"/>
      <w:r w:rsidRPr="00457D08">
        <w:rPr>
          <w:rFonts w:ascii="Times New Roman" w:eastAsia="Times New Roman" w:hAnsi="Times New Roman" w:cs="Times New Roman"/>
          <w:color w:val="2A2B27"/>
          <w:sz w:val="24"/>
          <w:szCs w:val="24"/>
          <w:lang w:eastAsia="ru-RU"/>
        </w:rPr>
        <w:t>омитета – ежемесячный или ежеквартальный о приобретенных и потраченных денежных средствах;</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“Советы родителям”. Цель: дать родителям систему знаний о воспитании (смена информации не реже 1 раза в месяц);</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“О наших детях” (не реже 1 раза в месяц вывешивается информация о том, чему научились дети, чего достигли);</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“Добрые дела” (меняется по необходимости) – помощь родителей в каких-либо делах для группы, детского сада – благодарность родителям;</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“Чем мы сегодня занимались” – вывешивается ежедневно;</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фотографии детей в режимных моментах: на занятиях, на прогулке, в игровых уголках и т.д.</w:t>
      </w:r>
    </w:p>
    <w:p w:rsidR="00457D08" w:rsidRPr="00457D08" w:rsidRDefault="00457D08" w:rsidP="00457D08">
      <w:pPr>
        <w:shd w:val="clear" w:color="auto" w:fill="DFE0DD"/>
        <w:spacing w:before="100" w:beforeAutospacing="1" w:after="40" w:line="240" w:lineRule="auto"/>
        <w:ind w:hanging="360"/>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w:t>
      </w:r>
      <w:r w:rsidRPr="00457D08">
        <w:rPr>
          <w:rFonts w:ascii="Times New Roman" w:eastAsia="Times New Roman" w:hAnsi="Times New Roman" w:cs="Times New Roman"/>
          <w:color w:val="2A2B27"/>
          <w:sz w:val="14"/>
          <w:szCs w:val="14"/>
          <w:lang w:eastAsia="ru-RU"/>
        </w:rPr>
        <w:t>        </w:t>
      </w:r>
      <w:r w:rsidRPr="00457D08">
        <w:rPr>
          <w:rFonts w:ascii="Times New Roman" w:eastAsia="Times New Roman" w:hAnsi="Times New Roman" w:cs="Times New Roman"/>
          <w:color w:val="2A2B27"/>
          <w:sz w:val="14"/>
          <w:lang w:eastAsia="ru-RU"/>
        </w:rPr>
        <w:t> </w:t>
      </w:r>
      <w:r w:rsidRPr="00457D08">
        <w:rPr>
          <w:rFonts w:ascii="Times New Roman" w:eastAsia="Times New Roman" w:hAnsi="Times New Roman" w:cs="Times New Roman"/>
          <w:color w:val="2A2B27"/>
          <w:sz w:val="24"/>
          <w:szCs w:val="24"/>
          <w:lang w:eastAsia="ru-RU"/>
        </w:rPr>
        <w:t>выставки детского творчества (рисунков, поделок).</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proofErr w:type="gramStart"/>
      <w:r w:rsidRPr="00457D08">
        <w:rPr>
          <w:rFonts w:ascii="Times New Roman" w:eastAsia="Times New Roman" w:hAnsi="Times New Roman" w:cs="Times New Roman"/>
          <w:color w:val="2A2B27"/>
          <w:sz w:val="24"/>
          <w:szCs w:val="24"/>
          <w:lang w:eastAsia="ru-RU"/>
        </w:rPr>
        <w:t xml:space="preserve">Развивающая среда может быть постоянной, создаваемой на длительный срок: оформление кабинетов, музыкального и физкультурного залов, и более динамичной – при оформлении музыкального зала, групповой, вестибюля на какой-то конкретный праздник, </w:t>
      </w:r>
      <w:proofErr w:type="spellStart"/>
      <w:r w:rsidRPr="00457D08">
        <w:rPr>
          <w:rFonts w:ascii="Times New Roman" w:eastAsia="Times New Roman" w:hAnsi="Times New Roman" w:cs="Times New Roman"/>
          <w:color w:val="2A2B27"/>
          <w:sz w:val="24"/>
          <w:szCs w:val="24"/>
          <w:lang w:eastAsia="ru-RU"/>
        </w:rPr>
        <w:t>досуговое</w:t>
      </w:r>
      <w:proofErr w:type="spellEnd"/>
      <w:r w:rsidRPr="00457D08">
        <w:rPr>
          <w:rFonts w:ascii="Times New Roman" w:eastAsia="Times New Roman" w:hAnsi="Times New Roman" w:cs="Times New Roman"/>
          <w:color w:val="2A2B27"/>
          <w:sz w:val="24"/>
          <w:szCs w:val="24"/>
          <w:lang w:eastAsia="ru-RU"/>
        </w:rPr>
        <w:t xml:space="preserve"> мероприятие, на время постановки сказки.</w:t>
      </w:r>
      <w:proofErr w:type="gramEnd"/>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Целенаправленно организованная предметно-развивающая среда в дошкольном учреждении играет большую роль в гармоничном развитии и воспитании ребенка.</w:t>
      </w:r>
    </w:p>
    <w:p w:rsidR="00457D08" w:rsidRPr="00457D08" w:rsidRDefault="00457D08" w:rsidP="00457D08">
      <w:pPr>
        <w:shd w:val="clear" w:color="auto" w:fill="DFE0DD"/>
        <w:spacing w:before="100" w:beforeAutospacing="1" w:after="40" w:line="240" w:lineRule="auto"/>
        <w:rPr>
          <w:rFonts w:ascii="Times New Roman" w:eastAsia="Times New Roman" w:hAnsi="Times New Roman" w:cs="Times New Roman"/>
          <w:color w:val="2A2B27"/>
          <w:sz w:val="18"/>
          <w:szCs w:val="18"/>
          <w:lang w:eastAsia="ru-RU"/>
        </w:rPr>
      </w:pPr>
      <w:r w:rsidRPr="00457D08">
        <w:rPr>
          <w:rFonts w:ascii="Times New Roman" w:eastAsia="Times New Roman" w:hAnsi="Times New Roman" w:cs="Times New Roman"/>
          <w:color w:val="2A2B27"/>
          <w:sz w:val="24"/>
          <w:szCs w:val="24"/>
          <w:lang w:eastAsia="ru-RU"/>
        </w:rPr>
        <w:t>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457D08" w:rsidRPr="00457D08" w:rsidRDefault="00457D08" w:rsidP="00457D08">
      <w:pPr>
        <w:jc w:val="center"/>
        <w:rPr>
          <w:rFonts w:ascii="Times New Roman" w:hAnsi="Times New Roman" w:cs="Times New Roman"/>
          <w:sz w:val="36"/>
          <w:szCs w:val="36"/>
        </w:rPr>
      </w:pPr>
    </w:p>
    <w:p w:rsidR="00457D08" w:rsidRPr="00457D08" w:rsidRDefault="00457D08">
      <w:pPr>
        <w:rPr>
          <w:rFonts w:ascii="Times New Roman" w:hAnsi="Times New Roman" w:cs="Times New Roman"/>
          <w:sz w:val="28"/>
          <w:szCs w:val="28"/>
        </w:rPr>
      </w:pPr>
    </w:p>
    <w:sectPr w:rsidR="00457D08" w:rsidRPr="00457D08" w:rsidSect="00457D0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7D08"/>
    <w:rsid w:val="00457D08"/>
    <w:rsid w:val="005E76C2"/>
    <w:rsid w:val="00786D70"/>
    <w:rsid w:val="00805DDA"/>
    <w:rsid w:val="00B62CF7"/>
    <w:rsid w:val="00FA5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7D08"/>
    <w:rPr>
      <w:i/>
      <w:iCs/>
    </w:rPr>
  </w:style>
  <w:style w:type="character" w:customStyle="1" w:styleId="apple-converted-space">
    <w:name w:val="apple-converted-space"/>
    <w:basedOn w:val="a0"/>
    <w:rsid w:val="00457D08"/>
  </w:style>
  <w:style w:type="paragraph" w:styleId="a4">
    <w:name w:val="List Paragraph"/>
    <w:basedOn w:val="a"/>
    <w:uiPriority w:val="34"/>
    <w:qFormat/>
    <w:rsid w:val="00457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8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1486</Words>
  <Characters>8474</Characters>
  <Application>Microsoft Office Word</Application>
  <DocSecurity>0</DocSecurity>
  <Lines>70</Lines>
  <Paragraphs>19</Paragraphs>
  <ScaleCrop>false</ScaleCrop>
  <Company>Microsoft</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Любимая</dc:creator>
  <cp:lastModifiedBy>Admin</cp:lastModifiedBy>
  <cp:revision>4</cp:revision>
  <dcterms:created xsi:type="dcterms:W3CDTF">2014-02-24T05:23:00Z</dcterms:created>
  <dcterms:modified xsi:type="dcterms:W3CDTF">2014-06-26T10:16:00Z</dcterms:modified>
</cp:coreProperties>
</file>