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11" w:rsidRDefault="00F77511" w:rsidP="00F77511">
      <w:pPr>
        <w:shd w:val="clear" w:color="auto" w:fill="FFFFFF"/>
        <w:spacing w:before="185" w:after="242" w:line="240" w:lineRule="auto"/>
        <w:ind w:left="428"/>
        <w:jc w:val="center"/>
        <w:outlineLvl w:val="0"/>
        <w:rPr>
          <w:rFonts w:ascii="Arial" w:eastAsia="Times New Roman" w:hAnsi="Arial" w:cs="Arial"/>
          <w:color w:val="0877A1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877A1"/>
          <w:kern w:val="36"/>
          <w:sz w:val="31"/>
          <w:szCs w:val="31"/>
          <w:lang w:eastAsia="ru-RU"/>
        </w:rPr>
        <w:t>Методическая работа.</w:t>
      </w:r>
    </w:p>
    <w:p w:rsidR="00F77511" w:rsidRDefault="00F77511" w:rsidP="00F77511">
      <w:pPr>
        <w:shd w:val="clear" w:color="auto" w:fill="FFFFFF"/>
        <w:spacing w:before="185" w:after="242" w:line="240" w:lineRule="auto"/>
        <w:ind w:left="428"/>
        <w:jc w:val="center"/>
        <w:outlineLvl w:val="0"/>
        <w:rPr>
          <w:rFonts w:ascii="Arial" w:eastAsia="Times New Roman" w:hAnsi="Arial" w:cs="Arial"/>
          <w:color w:val="0877A1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877A1"/>
          <w:kern w:val="36"/>
          <w:sz w:val="31"/>
          <w:szCs w:val="31"/>
          <w:lang w:eastAsia="ru-RU"/>
        </w:rPr>
        <w:t>Повышение профессиональной компетентности</w:t>
      </w:r>
    </w:p>
    <w:tbl>
      <w:tblPr>
        <w:tblW w:w="97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"/>
        <w:gridCol w:w="4427"/>
        <w:gridCol w:w="3212"/>
        <w:gridCol w:w="1760"/>
      </w:tblGrid>
      <w:tr w:rsidR="00F77511" w:rsidTr="00F77511">
        <w:trPr>
          <w:trHeight w:val="1080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lang w:eastAsia="ru-RU"/>
              </w:rPr>
              <w:t>Направление деятельности и формы работы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lang w:eastAsia="ru-RU"/>
              </w:rPr>
              <w:t>Цель проведения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lang w:eastAsia="ru-RU"/>
              </w:rPr>
              <w:t>Сроки проведения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Посещение курсов, лекций, методических объединений, обмен опытом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Повышение      профессиональной компетентности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Систематически</w:t>
            </w:r>
          </w:p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 раз в месяц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Работа с научной и публицистической литературой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Систематически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Проведение   наблюдений  за  динамикой речевых нарушений на логопедических занятиях, за влиянием определённых ме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softHyphen/>
              <w:t>тодов на речевое развитие и коррекцию речи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Выбор наиболее эффективных пу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softHyphen/>
              <w:t>тей обучения и восстановления ус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softHyphen/>
              <w:t>тной и письменной речи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Систематически</w:t>
            </w:r>
          </w:p>
          <w:p w:rsidR="00F77511" w:rsidRDefault="00F77511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Заполнение карт</w:t>
            </w:r>
          </w:p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«Динамика развития»</w:t>
            </w:r>
          </w:p>
          <w:p w:rsidR="00F77511" w:rsidRDefault="00F77511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Планирование методической работы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Август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Составление перспективных планов работы с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1-15 сентября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Заполнение речевых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 раз в четверть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Составление конспектов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Подобрать методическую и коррекционную литературу и пособия, логопедические игры в помощь учителю и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Заполнение журнала учета посещаемости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Организовать цикл лекций и семинаров для педагогов и родителей об особенностях работы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Систематически знакомить  с инновационными технологиями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F77511" w:rsidTr="00F77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Пополнить логопедический кабинет дидактическими средствами по всем разделам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511" w:rsidRDefault="00F77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Систематически</w:t>
            </w:r>
          </w:p>
        </w:tc>
      </w:tr>
    </w:tbl>
    <w:p w:rsidR="00F77511" w:rsidRDefault="00F77511" w:rsidP="00F77511"/>
    <w:p w:rsidR="004425A6" w:rsidRDefault="004425A6"/>
    <w:sectPr w:rsidR="004425A6" w:rsidSect="0044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F77511"/>
    <w:rsid w:val="004425A6"/>
    <w:rsid w:val="00F7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Синичкин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2</cp:revision>
  <dcterms:created xsi:type="dcterms:W3CDTF">2013-08-20T05:35:00Z</dcterms:created>
  <dcterms:modified xsi:type="dcterms:W3CDTF">2013-08-20T05:35:00Z</dcterms:modified>
</cp:coreProperties>
</file>