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85" w:rsidRPr="005F5885" w:rsidRDefault="00863731" w:rsidP="00863731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aps/>
          <w:color w:val="000000"/>
          <w:kern w:val="36"/>
          <w:sz w:val="39"/>
          <w:szCs w:val="39"/>
          <w:lang w:eastAsia="ru-RU"/>
        </w:rPr>
      </w:pPr>
      <w:r>
        <w:fldChar w:fldCharType="begin"/>
      </w:r>
      <w:r>
        <w:instrText xml:space="preserve"> HYPERLINK "http://fizkultura-na5.ru/lyzhnyj-sport/obucheniya-i-sovershenstvovaniya-poperemennogo-dvukhshazhnogo-khoda-5-6-klass.html" </w:instrText>
      </w:r>
      <w:r>
        <w:fldChar w:fldCharType="separate"/>
      </w:r>
      <w:r w:rsidR="005F5885" w:rsidRPr="005F5885">
        <w:rPr>
          <w:rFonts w:ascii="Trebuchet MS" w:eastAsia="Times New Roman" w:hAnsi="Trebuchet MS" w:cs="Times New Roman"/>
          <w:caps/>
          <w:color w:val="145D71"/>
          <w:kern w:val="36"/>
          <w:sz w:val="39"/>
          <w:szCs w:val="39"/>
          <w:u w:val="single"/>
          <w:lang w:eastAsia="ru-RU"/>
        </w:rPr>
        <w:t>ОБУЧЕНИЯ И СОВЕРШЕНСТВОВАНИЯ ПОПЕРЕМЕННОГО ДВУХШАЖНОГО ХОДА 5-6 КЛАСС</w:t>
      </w:r>
      <w:r>
        <w:rPr>
          <w:rFonts w:ascii="Trebuchet MS" w:eastAsia="Times New Roman" w:hAnsi="Trebuchet MS" w:cs="Times New Roman"/>
          <w:caps/>
          <w:color w:val="145D71"/>
          <w:kern w:val="36"/>
          <w:sz w:val="39"/>
          <w:szCs w:val="39"/>
          <w:u w:val="single"/>
          <w:lang w:eastAsia="ru-RU"/>
        </w:rPr>
        <w:fldChar w:fldCharType="end"/>
      </w:r>
    </w:p>
    <w:p w:rsidR="005F5885" w:rsidRPr="00863731" w:rsidRDefault="005F5885" w:rsidP="005F5885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5F5885">
        <w:rPr>
          <w:rFonts w:ascii="Verdana" w:eastAsia="Times New Roman" w:hAnsi="Verdana" w:cs="Times New Roman"/>
          <w:noProof/>
          <w:color w:val="242C2E"/>
          <w:sz w:val="24"/>
          <w:szCs w:val="24"/>
          <w:lang w:eastAsia="ru-RU"/>
        </w:rPr>
        <w:drawing>
          <wp:inline distT="0" distB="0" distL="0" distR="0">
            <wp:extent cx="1428750" cy="1123950"/>
            <wp:effectExtent l="0" t="0" r="0" b="0"/>
            <wp:docPr id="1" name="Рисунок 1" descr="http://fizkultura-na5.ru/images/ligi/ligivsc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zkultura-na5.ru/images/ligi/ligivsco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Попеременный </w:t>
      </w:r>
      <w:proofErr w:type="spellStart"/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двухшажный</w:t>
      </w:r>
      <w:proofErr w:type="spellEnd"/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ход применяется в основном на равнине, однако при хорошем скольжении и сцеплении лыж со снегом может использоваться и на пологих подъемах. Обучению технике данного хода следует уделить самое серьезное внимание, поскольку основа его </w:t>
      </w:r>
      <w:proofErr w:type="gramStart"/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—с</w:t>
      </w:r>
      <w:proofErr w:type="gramEnd"/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кользящий шаг входит почти во все другие способы передвижения на лыжах.</w:t>
      </w:r>
    </w:p>
    <w:p w:rsidR="005F5885" w:rsidRPr="00863731" w:rsidRDefault="005F5885" w:rsidP="005F5885">
      <w:pPr>
        <w:shd w:val="clear" w:color="auto" w:fill="FFFFFF"/>
        <w:spacing w:before="150" w:after="150" w:line="270" w:lineRule="atLeast"/>
        <w:ind w:left="150" w:right="150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86373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ТЕХНИК</w:t>
      </w:r>
      <w:r w:rsidR="00455307" w:rsidRPr="0086373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А ВЫПОЛНЕНИЯ ПОПЕРЕМЕНОГО ДВУХША</w:t>
      </w:r>
      <w:r w:rsidRPr="0086373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ЖНОГО ХОДА</w:t>
      </w:r>
    </w:p>
    <w:p w:rsidR="005F5885" w:rsidRPr="00863731" w:rsidRDefault="005F5885" w:rsidP="005F5885">
      <w:pPr>
        <w:shd w:val="clear" w:color="auto" w:fill="FFFFFF"/>
        <w:spacing w:before="150" w:after="150" w:line="270" w:lineRule="atLeast"/>
        <w:ind w:left="150" w:right="15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86373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ОТТАЛКИВАНИЕ ЛЫЖЕЙ</w:t>
      </w:r>
    </w:p>
    <w:p w:rsidR="005F5885" w:rsidRPr="00863731" w:rsidRDefault="005F5885" w:rsidP="005F5885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В скользящем шаге различают отталкивание лыжей и скольжение на другой лыже (рис. 1.1— 6). В отталкивании лыжей выделяют две части:</w:t>
      </w:r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br/>
        <w:t>а) отталкивание со сгибанием толчковой ноги (5);</w:t>
      </w:r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br/>
        <w:t>б) отталкивание с выпрямлением ее (6).</w:t>
      </w:r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br/>
        <w:t>Хотя движения в суставах включаются в отталкивание постепенно, заканчиваются они одновременно быстрым выталкивающим («на взлет») движением (6). Толчок «на взлет» уменьшает давление скользящей лыжи на снег и способствует быстрому и длительному скольжению. Одновременное завершение движений во всех суставах создает более мощный толчок стопой.</w:t>
      </w:r>
    </w:p>
    <w:p w:rsidR="005F5885" w:rsidRPr="00863731" w:rsidRDefault="005F5885" w:rsidP="005F5885">
      <w:pPr>
        <w:shd w:val="clear" w:color="auto" w:fill="FFFFFF"/>
        <w:spacing w:before="150" w:after="150" w:line="270" w:lineRule="atLeast"/>
        <w:ind w:left="150" w:right="15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86373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СКОЛЬЖЕНИЕ</w:t>
      </w:r>
    </w:p>
    <w:p w:rsidR="005F5885" w:rsidRPr="00863731" w:rsidRDefault="005F5885" w:rsidP="005F5885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В скольжении различают три части:</w:t>
      </w:r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br/>
        <w:t>а) свободное скольжение — от момента отрыва толчковой ноги до момента постановки палки (1. 2);</w:t>
      </w:r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br/>
        <w:t xml:space="preserve">6) скольжение с выпрямлением опорной ноги— </w:t>
      </w:r>
      <w:proofErr w:type="gramStart"/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до</w:t>
      </w:r>
      <w:proofErr w:type="gramEnd"/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начала </w:t>
      </w:r>
      <w:proofErr w:type="spellStart"/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подседания</w:t>
      </w:r>
      <w:proofErr w:type="spellEnd"/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(2- 3);</w:t>
      </w:r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br/>
        <w:t xml:space="preserve">в) скольжение с </w:t>
      </w:r>
      <w:proofErr w:type="spellStart"/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подседанием</w:t>
      </w:r>
      <w:proofErr w:type="spellEnd"/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заканчивается в момент остановки лыжи (4- 5).</w:t>
      </w:r>
    </w:p>
    <w:p w:rsidR="005F5885" w:rsidRPr="00863731" w:rsidRDefault="005F5885" w:rsidP="005F5885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863731">
        <w:rPr>
          <w:rFonts w:ascii="Times New Roman" w:eastAsia="Times New Roman" w:hAnsi="Times New Roman" w:cs="Times New Roman"/>
          <w:noProof/>
          <w:color w:val="242C2E"/>
          <w:sz w:val="28"/>
          <w:szCs w:val="28"/>
          <w:lang w:eastAsia="ru-RU"/>
        </w:rPr>
        <w:drawing>
          <wp:inline distT="0" distB="0" distL="0" distR="0" wp14:anchorId="1BEF5423" wp14:editId="477B73F2">
            <wp:extent cx="6387912" cy="1838508"/>
            <wp:effectExtent l="0" t="0" r="0" b="9525"/>
            <wp:docPr id="2" name="Рисунок 2" descr="Обучения и совершенствования попеременного двухшажного хода 5-6 клас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учения и совершенствования попеременного двухшажного хода 5-6 класс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003" cy="183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885" w:rsidRPr="00863731" w:rsidRDefault="005F5885" w:rsidP="005F5885">
      <w:pPr>
        <w:shd w:val="clear" w:color="auto" w:fill="FFFFFF"/>
        <w:spacing w:before="150" w:after="150" w:line="270" w:lineRule="atLeast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86373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МЕТОДИКА ОБУЧЕНИЯ</w:t>
      </w:r>
    </w:p>
    <w:p w:rsidR="005F5885" w:rsidRPr="00863731" w:rsidRDefault="005F5885" w:rsidP="005F5885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В целостном ходе все это происходит быстро, и учителю специально заострять внимание занимающихся на этих моментах не следует. Важно помочь учащимся уяснить, что следует подсесть, энергично и быстро оттолкнуться, заканчивая толчок под углом 45° («на взлет»), а затем скользить на одной лыже. Длительность скольжения строго индивидуальна, но затягивать его нецелесообразно. Туловище и толчковая нога в момент окончания толчка составляют прямую линию (6). </w:t>
      </w:r>
      <w:proofErr w:type="gramStart"/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Затем все повторяется, но уже опорная нога становится толчковой, толчковая опорной.</w:t>
      </w:r>
      <w:proofErr w:type="gramEnd"/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Туловище не должно совершать больших колебаний вверх и вниз. </w:t>
      </w:r>
    </w:p>
    <w:p w:rsidR="005F5885" w:rsidRPr="00863731" w:rsidRDefault="005F5885" w:rsidP="005F588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Важная особенность при обучении попеременного </w:t>
      </w:r>
      <w:proofErr w:type="spellStart"/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двухшажного</w:t>
      </w:r>
      <w:proofErr w:type="spellEnd"/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хода является оптимально комфортная форма для лыжной подготовки или </w:t>
      </w:r>
      <w:hyperlink r:id="rId7" w:history="1">
        <w:r w:rsidRPr="00863731">
          <w:rPr>
            <w:rFonts w:ascii="Times New Roman" w:eastAsia="Times New Roman" w:hAnsi="Times New Roman" w:cs="Times New Roman"/>
            <w:color w:val="176D87"/>
            <w:sz w:val="28"/>
            <w:szCs w:val="28"/>
            <w:u w:val="single"/>
            <w:lang w:eastAsia="ru-RU"/>
          </w:rPr>
          <w:t>одежда для сноуборда</w:t>
        </w:r>
      </w:hyperlink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.</w:t>
      </w:r>
    </w:p>
    <w:p w:rsidR="005F5885" w:rsidRPr="00863731" w:rsidRDefault="005F5885" w:rsidP="005F5885">
      <w:pPr>
        <w:shd w:val="clear" w:color="auto" w:fill="FFFFFF"/>
        <w:spacing w:before="150" w:after="150" w:line="270" w:lineRule="atLeast"/>
        <w:ind w:left="150" w:right="15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86373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ДВИЖЕНИЯ РУК ПРИ ОБУЧЕНИИ ДВУХШАЖНОГО ХОДА</w:t>
      </w:r>
    </w:p>
    <w:p w:rsidR="005F5885" w:rsidRPr="00863731" w:rsidRDefault="005F5885" w:rsidP="005F5885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В ходе обучения на учебной лыжне нужно сразу, же обращать внимание и на движения рук. Иначе школьники, сосредоточиваясь только на движениях ног, могут допускать ошибки в работе рук. Руки двигаются строго вдоль лыжни, чтобы маховым движением выносимой вперед руки увеличивать ускорение тела только в перед по направлению толчковой руки двигать тело </w:t>
      </w:r>
      <w:proofErr w:type="gramStart"/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лыжника</w:t>
      </w:r>
      <w:proofErr w:type="gramEnd"/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но по лыжне. Движение руки вперед свободное она расслаблена, кисть проходит на уровень локтевого сустава (4, 5), т. е. рука почти прямая. Это увеличивает силу маха, которая; в свою очередь, способствует ускорению. Вперед рука поднимается до уровня подбородка, при этом она слегка согнута в локте, локоть опущен вниз (2, 6), При таком положении локтя мышцы лучше </w:t>
      </w:r>
      <w:proofErr w:type="gramStart"/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расслабляются</w:t>
      </w:r>
      <w:proofErr w:type="gramEnd"/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и создается выгодное положение для правильного отталкивания рукой. При отведении назад рука постепенно выпрямляется, в конце отталкивания она параллельна толчковой ноге; таким образом, направления усилий ноги и руки в этот момент полностью совпадают (5, 6), что способствует большему увеличению скорости.</w:t>
      </w:r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br/>
        <w:t xml:space="preserve">Следует помнить, что в попеременном </w:t>
      </w:r>
      <w:proofErr w:type="spellStart"/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двухшажном</w:t>
      </w:r>
      <w:proofErr w:type="spellEnd"/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ходе тело лыжника совершает естественное падающее движение вперед, которое ускоряется за счет толчков и маховых движений рук и ног.</w:t>
      </w:r>
    </w:p>
    <w:p w:rsidR="005F5885" w:rsidRPr="00863731" w:rsidRDefault="005F5885" w:rsidP="005F5885">
      <w:pPr>
        <w:shd w:val="clear" w:color="auto" w:fill="FFFFFF"/>
        <w:spacing w:before="150" w:after="150" w:line="270" w:lineRule="atLeast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86373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ПОДГОТОВИТЕЛЬНЫЕ УПРАЖНЕНИЯ</w:t>
      </w:r>
    </w:p>
    <w:p w:rsidR="005F5885" w:rsidRPr="00863731" w:rsidRDefault="005F5885" w:rsidP="005F5885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Последовательность обучения отдельным элементам техники этого хода представлена в изложенной ниже очередности подготовительных упражнений.</w:t>
      </w:r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br/>
        <w:t>1. Имитация попеременной работы рук на месте без палок.</w:t>
      </w:r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br/>
        <w:t>2. Наклоняясь вперед, перемещение на лыжах за счет падающего движения. Шаги делать небольшие, без активных толчков ногами, руки двигаются свободно вдоль лыжни.</w:t>
      </w:r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br/>
        <w:t xml:space="preserve">3. Передвижение скользящим шагом без палок с активными движениями рук вдоль </w:t>
      </w:r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lastRenderedPageBreak/>
        <w:t>лыжни.</w:t>
      </w:r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br/>
        <w:t xml:space="preserve">4. То же, что в упр. 3, но с энергичными </w:t>
      </w:r>
      <w:proofErr w:type="spellStart"/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подседаниями</w:t>
      </w:r>
      <w:proofErr w:type="spellEnd"/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и толчками ногами, стараясь как можно дольше скользить на одной лыже. Руки двигаются строго вдоль лыжни и поднимаются вперед только до уровня подбородка, локоть в это время опущен.</w:t>
      </w:r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br/>
        <w:t>5. Передвижение с палками, но без активного, акцентированного отталкивания ими.</w:t>
      </w:r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br/>
        <w:t>6. Передвижение под небольшой уклон (ноги вместе), поочередно отталкиваясь палками.</w:t>
      </w:r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br/>
        <w:t xml:space="preserve">Каждое упражнение должно быть не только правильно выполнено, но и закреплено. Лишь тогда можно приступить к обучению попеременному </w:t>
      </w:r>
      <w:proofErr w:type="spellStart"/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двухшажному</w:t>
      </w:r>
      <w:proofErr w:type="spellEnd"/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ходу в целом.</w:t>
      </w:r>
    </w:p>
    <w:p w:rsidR="005F5885" w:rsidRPr="00863731" w:rsidRDefault="005F5885" w:rsidP="005F5885">
      <w:pPr>
        <w:shd w:val="clear" w:color="auto" w:fill="FFFFFF"/>
        <w:spacing w:before="150" w:after="150" w:line="270" w:lineRule="atLeast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86373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ТИПИЧНЫЕ ОШИБКИ И ИХ ИСПРАВЛЕНИЕ.</w:t>
      </w:r>
    </w:p>
    <w:p w:rsidR="005F5885" w:rsidRPr="00863731" w:rsidRDefault="005F5885" w:rsidP="00863731">
      <w:pPr>
        <w:shd w:val="clear" w:color="auto" w:fill="FFFFFF"/>
        <w:spacing w:before="180" w:after="180" w:line="360" w:lineRule="atLeast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Если кое-кто из учеников допускает ошибки, исправлять их можно с помощью тех же подготовительных упражнений. Итак, перечислим допускаемые учениками типичные ошибки и упражнения, которые позволяют их исправлять.</w:t>
      </w:r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br/>
        <w:t>1. Передвижение на прямых ногах упр. 4.</w:t>
      </w:r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br/>
        <w:t xml:space="preserve">2. </w:t>
      </w:r>
      <w:proofErr w:type="spellStart"/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Двухопорное</w:t>
      </w:r>
      <w:proofErr w:type="spellEnd"/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скольжение — упр. 2, 4.</w:t>
      </w:r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br/>
        <w:t>3. «Подпрыгивающий» ход — упр. 2, 3.</w:t>
      </w:r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br/>
        <w:t xml:space="preserve">4. Незаконченный толчок палкой </w:t>
      </w:r>
      <w:proofErr w:type="gramStart"/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—у</w:t>
      </w:r>
      <w:proofErr w:type="gramEnd"/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пр. 6.</w:t>
      </w:r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br/>
        <w:t>5. Руки выносятся вперед слишком высоко — упр. 1,2, 5.</w:t>
      </w:r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br/>
        <w:t xml:space="preserve">6. </w:t>
      </w:r>
      <w:proofErr w:type="gramStart"/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Движение-рук</w:t>
      </w:r>
      <w:proofErr w:type="gramEnd"/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не параллельны лыжне—упр. 1, 3.</w:t>
      </w:r>
      <w:r w:rsidRPr="00863731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br/>
        <w:t>7. Локоть выносимой вперед руки поднят в сторону — упр. 1,3, 5.</w:t>
      </w:r>
    </w:p>
    <w:p w:rsidR="00B54DB5" w:rsidRPr="00863731" w:rsidRDefault="00B54D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4DB5" w:rsidRPr="00863731" w:rsidSect="007D70F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918"/>
    <w:rsid w:val="000C1FDC"/>
    <w:rsid w:val="00455307"/>
    <w:rsid w:val="005F5885"/>
    <w:rsid w:val="007D70F9"/>
    <w:rsid w:val="00863731"/>
    <w:rsid w:val="00B54DB5"/>
    <w:rsid w:val="00F22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4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6kc.ru/catalog/89-snoubordicheska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765</Words>
  <Characters>4365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7</cp:revision>
  <dcterms:created xsi:type="dcterms:W3CDTF">2014-12-10T12:48:00Z</dcterms:created>
  <dcterms:modified xsi:type="dcterms:W3CDTF">2015-02-01T14:30:00Z</dcterms:modified>
</cp:coreProperties>
</file>