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FC" w:rsidRPr="004629FC" w:rsidRDefault="004629FC" w:rsidP="004629FC">
      <w:pPr>
        <w:ind w:right="-18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Тест «Особенности ЭГП и населения РФ»</w:t>
      </w:r>
    </w:p>
    <w:p w:rsidR="004629FC" w:rsidRDefault="004629FC" w:rsidP="004629FC">
      <w:pPr>
        <w:ind w:right="-185"/>
        <w:rPr>
          <w:i/>
        </w:rPr>
      </w:pPr>
    </w:p>
    <w:p w:rsidR="004629FC" w:rsidRDefault="004629FC" w:rsidP="004629FC">
      <w:pPr>
        <w:ind w:right="-185"/>
        <w:rPr>
          <w:i/>
        </w:rPr>
      </w:pPr>
      <w:r>
        <w:rPr>
          <w:i/>
        </w:rPr>
        <w:t>1). В РФ проживает: … … человек.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2). Политико-государственное устройство РФ называется ….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3). Субъектов в РФ - …. Из них 46 - …, 9 - …, 2 - …, 21 - …,4 - …, 1 - ….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4). Языковых семей в РФ - …, примерное количество народов - …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5). Горожан в РФ - …%, сельских жителей - …%.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6). Городов в РФ - …, из них городов-миллионеров - …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7). Средняя плотность населения - …….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8). Количество стран – соседей 1-го порядка - …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9). Сложность ЭГП России в том, что …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10). Запад и Восток страны с точки зрения транспортно-географического положения можно оценить по-разному, т.к. …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 xml:space="preserve">11). Эколого-географическое положение может ухудшаться из-за стран Европы, т.к. … </w:t>
      </w:r>
    </w:p>
    <w:p w:rsidR="004629FC" w:rsidRDefault="004629FC" w:rsidP="004629FC">
      <w:pPr>
        <w:ind w:right="-185"/>
        <w:rPr>
          <w:i/>
        </w:rPr>
      </w:pPr>
      <w:r>
        <w:rPr>
          <w:i/>
        </w:rPr>
        <w:t>12). Географическое положение постоянно изменяется, т.к. ….</w:t>
      </w:r>
    </w:p>
    <w:p w:rsidR="008A64E2" w:rsidRDefault="008A64E2"/>
    <w:sectPr w:rsidR="008A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9FC"/>
    <w:rsid w:val="004629FC"/>
    <w:rsid w:val="008A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UralSOFT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2013-10-19T16:36:00Z</dcterms:created>
  <dcterms:modified xsi:type="dcterms:W3CDTF">2013-10-19T16:37:00Z</dcterms:modified>
</cp:coreProperties>
</file>