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8" w:rsidRPr="00186A78" w:rsidRDefault="00186A78" w:rsidP="00186A78">
      <w:pPr>
        <w:shd w:val="clear" w:color="auto" w:fill="FFFFFF"/>
        <w:spacing w:before="125" w:after="125" w:line="240" w:lineRule="atLeast"/>
        <w:ind w:left="188"/>
        <w:outlineLvl w:val="0"/>
        <w:rPr>
          <w:rFonts w:ascii="Arial" w:eastAsia="Times New Roman" w:hAnsi="Arial" w:cs="Arial"/>
          <w:b/>
          <w:bCs/>
          <w:color w:val="030372"/>
          <w:kern w:val="36"/>
          <w:sz w:val="28"/>
          <w:szCs w:val="28"/>
        </w:rPr>
      </w:pPr>
      <w:r w:rsidRPr="00186A78">
        <w:rPr>
          <w:rFonts w:ascii="Arial" w:eastAsia="Times New Roman" w:hAnsi="Arial" w:cs="Arial"/>
          <w:b/>
          <w:bCs/>
          <w:color w:val="030372"/>
          <w:kern w:val="36"/>
          <w:sz w:val="28"/>
          <w:szCs w:val="28"/>
        </w:rPr>
        <w:t>Психологическая подготовка к соревнованиям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 xml:space="preserve">1. </w:t>
      </w:r>
      <w:proofErr w:type="spellStart"/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>Предсоревновательная</w:t>
      </w:r>
      <w:proofErr w:type="spellEnd"/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 xml:space="preserve"> подготовка, которая осуществляется постоянно в процессе годичных тренировок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Включает в себя все аспекты психологической подготовки, как общей, так и специальной, которые, наряду с технической, тактической, физической и теоретической подготовкой, включаются в единый процесс спортивного воспитания   с момента поступления ребенка в  спортивную школу.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 xml:space="preserve">2. Этап непосредственной </w:t>
      </w:r>
      <w:proofErr w:type="spellStart"/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>предсоревновательной</w:t>
      </w:r>
      <w:proofErr w:type="spellEnd"/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 xml:space="preserve"> подготовки в последние недели перед стартом (ЭНПП)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Возбуждение накануне соревнования необходимо, но оно не должно мешать спортсмену спать.  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Чем выше у спортсмена чувство ответственности, тем раньше у него начинается процесс возбуждения. Важно, чтобы возбудимость достигла высокого уровня в день соревнования;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нельзя допускать полного отдыха от спортивной тренировки в течение многих дней перед соревнованиями – это верный способ выйти из строя;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очень важно в последние дни перед стартом ничем не нарушать обычного образа жизни, особенно это относится к  распорядку дня и режиму питания.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задача тренера – подготовить учеников к соревнованиям не только самим процессом тренировки, но и соответствующим напутствием.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еще раз вернитесь к анализу конкурентов, их сильным и слабым сторонам, задуманным вами вместе с тренерами тактическим вариантам.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повторите формулировки, укрепляющие   веру в свои силы, в возможность повышения ранее  достигнутых результатов.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договоритесь с тренером о сигналах, которыми Вы будете обмениваться.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>3. Подготовка в день соревнования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 в свободные минуты сосредотачивать внимание и мысли на накопление психической энергии: «Все больше уверен в своих силах», «К старту буду в отличном состоянии» и т.д.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 убежденность в своих силах – основание дерзания  на величайшие спортивные результаты;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  нецелесообразно вести предстартовую тренировку на предельных усилиях, так как это заметно снизит накопленный потенциал нервно-психической    энергии; ошибочные движения, выполняемые на фоне повышенного    </w:t>
      </w:r>
      <w:proofErr w:type="spellStart"/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предсоревновательного</w:t>
      </w:r>
      <w:proofErr w:type="spellEnd"/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 xml:space="preserve"> нервного напряжения, очень легко закрепляются.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>4. Подготовка на месте состязания в день старта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Достижению наивысших спортивных результатов способствует понимание спортсменом того, что его организм обладает чрезвычайно большими потенциальными силами, почти неограниченными возможностями проявлять чудеса силы, быстроты, ловкости, выносливости.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готовясь к старту, спортсмен должен быть готов к любым неожиданностям, ожидать суровой борьбы с максимальным проявлением воли;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lastRenderedPageBreak/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спортсмен должен знать, что мысли перед стартом готовят его к старту;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во время разминки и перед участием в соревновании необходимо сосредоточить все внимание и мысли на предстоящем выступлении. Не следует вести спортивные разговоры, ходить к зрителям, вмешиваться в действия других спортсменов.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не нужно надеяться на низкие результаты своих противников: наоборот, задолго до соревнования,  надо быть готовым к тому, что они могут  добиться очень больших успехов.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b/>
          <w:bCs/>
          <w:i/>
          <w:iCs/>
          <w:color w:val="272A2A"/>
          <w:sz w:val="24"/>
          <w:szCs w:val="24"/>
        </w:rPr>
        <w:t>5. Участие в соревновании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left="63"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Учитесь никогда не выходить на старт и не начинать состязание с чувством собственного превосходства, даже при слабом противнике. И, конечно, не вешать себе медаль на грудь, еще не завоевав ее.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нельзя и переоценивать противника, заранее мирясь с поражением;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не следует проявлять злобу к противнику. Как правило, у проявляющих злобу возникает нарушение в координации движений, отрицательные изменения в психической настроенности и целенаправленности. </w:t>
      </w:r>
    </w:p>
    <w:p w:rsidR="00186A78" w:rsidRPr="00186A78" w:rsidRDefault="00186A78" w:rsidP="00186A78">
      <w:pPr>
        <w:shd w:val="clear" w:color="auto" w:fill="FFFFFF"/>
        <w:spacing w:before="150" w:after="150" w:line="240" w:lineRule="auto"/>
        <w:ind w:right="63"/>
        <w:jc w:val="both"/>
        <w:rPr>
          <w:rFonts w:ascii="Times New Roman" w:eastAsia="Times New Roman" w:hAnsi="Times New Roman" w:cs="Times New Roman"/>
          <w:color w:val="272A2A"/>
          <w:sz w:val="24"/>
          <w:szCs w:val="24"/>
        </w:rPr>
      </w:pP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-</w:t>
      </w:r>
      <w:r w:rsidRPr="00186A78">
        <w:rPr>
          <w:rFonts w:ascii="Times New Roman" w:eastAsia="Times New Roman" w:hAnsi="Times New Roman" w:cs="Times New Roman"/>
          <w:color w:val="272A2A"/>
          <w:sz w:val="14"/>
          <w:szCs w:val="14"/>
        </w:rPr>
        <w:t>                    </w:t>
      </w:r>
      <w:r w:rsidRPr="00186A78">
        <w:rPr>
          <w:rFonts w:ascii="Times New Roman" w:eastAsia="Times New Roman" w:hAnsi="Times New Roman" w:cs="Times New Roman"/>
          <w:color w:val="272A2A"/>
          <w:sz w:val="14"/>
        </w:rPr>
        <w:t> </w:t>
      </w:r>
      <w:r w:rsidRPr="00186A78">
        <w:rPr>
          <w:rFonts w:ascii="Times New Roman" w:eastAsia="Times New Roman" w:hAnsi="Times New Roman" w:cs="Times New Roman"/>
          <w:color w:val="272A2A"/>
          <w:sz w:val="24"/>
          <w:szCs w:val="24"/>
        </w:rPr>
        <w:t>не следует спортсмену считать себя достигшим успеха, пока соревнования не окончены. Самоуспокоенность нередко приводит к поражению!</w:t>
      </w:r>
    </w:p>
    <w:p w:rsidR="00000000" w:rsidRDefault="00186A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6A78"/>
    <w:rsid w:val="001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Grizli777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2014-10-31T09:24:00Z</dcterms:created>
  <dcterms:modified xsi:type="dcterms:W3CDTF">2014-10-31T09:24:00Z</dcterms:modified>
</cp:coreProperties>
</file>