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EA" w:rsidRPr="000B73EA" w:rsidRDefault="000E7FCB" w:rsidP="007B09D2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7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Обобщение опыта работы</w:t>
      </w:r>
    </w:p>
    <w:p w:rsidR="007B09D2" w:rsidRPr="000B73EA" w:rsidRDefault="005D312B" w:rsidP="007B09D2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B7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09D2" w:rsidRPr="000B73EA">
        <w:rPr>
          <w:rFonts w:ascii="Times New Roman" w:hAnsi="Times New Roman" w:cs="Times New Roman"/>
          <w:color w:val="000000"/>
          <w:spacing w:val="-2"/>
          <w:sz w:val="28"/>
          <w:szCs w:val="28"/>
        </w:rPr>
        <w:t>Школьный этап  Всероссийского конкурса</w:t>
      </w:r>
    </w:p>
    <w:p w:rsidR="007B09D2" w:rsidRPr="000B73EA" w:rsidRDefault="007B09D2" w:rsidP="007B09D2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B73EA">
        <w:rPr>
          <w:rFonts w:ascii="Times New Roman" w:hAnsi="Times New Roman" w:cs="Times New Roman"/>
          <w:color w:val="000000"/>
          <w:spacing w:val="-2"/>
          <w:sz w:val="28"/>
          <w:szCs w:val="28"/>
        </w:rPr>
        <w:t>«Учитель года России-2015»</w:t>
      </w: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B73EA">
        <w:rPr>
          <w:rFonts w:ascii="Times New Roman" w:hAnsi="Times New Roman" w:cs="Times New Roman"/>
          <w:sz w:val="28"/>
          <w:szCs w:val="28"/>
        </w:rPr>
        <w:t xml:space="preserve">Описание опыта работы </w:t>
      </w: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3EA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73EA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0B73EA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Активизация познавательных интересов младших школьников через урочную и внеурочную деятельность</w:t>
      </w:r>
      <w:r w:rsidRPr="000B73EA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09D2" w:rsidRPr="000B73EA" w:rsidRDefault="007B09D2" w:rsidP="007B09D2">
      <w:pPr>
        <w:tabs>
          <w:tab w:val="left" w:pos="610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B73EA">
        <w:rPr>
          <w:rFonts w:ascii="Times New Roman" w:hAnsi="Times New Roman" w:cs="Times New Roman"/>
          <w:sz w:val="28"/>
          <w:szCs w:val="28"/>
        </w:rPr>
        <w:t xml:space="preserve">Маркер Татьяна Александровна  </w:t>
      </w:r>
    </w:p>
    <w:p w:rsidR="007B09D2" w:rsidRPr="000B73EA" w:rsidRDefault="007B09D2" w:rsidP="007B09D2">
      <w:pPr>
        <w:tabs>
          <w:tab w:val="left" w:pos="610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B7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начальных классов</w:t>
      </w:r>
    </w:p>
    <w:p w:rsidR="007B09D2" w:rsidRPr="000B73EA" w:rsidRDefault="007B09D2" w:rsidP="007B09D2">
      <w:pPr>
        <w:tabs>
          <w:tab w:val="left" w:pos="610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B7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МОУ «</w:t>
      </w:r>
      <w:proofErr w:type="spellStart"/>
      <w:r w:rsidRPr="000B73EA">
        <w:rPr>
          <w:rFonts w:ascii="Times New Roman" w:hAnsi="Times New Roman" w:cs="Times New Roman"/>
          <w:sz w:val="28"/>
          <w:szCs w:val="28"/>
        </w:rPr>
        <w:t>Харламовская</w:t>
      </w:r>
      <w:proofErr w:type="spellEnd"/>
      <w:r w:rsidRPr="000B73EA"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7B09D2" w:rsidRPr="000B73EA" w:rsidRDefault="007B09D2" w:rsidP="007B09D2">
      <w:pPr>
        <w:tabs>
          <w:tab w:val="left" w:pos="610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B73EA">
        <w:rPr>
          <w:rFonts w:ascii="Times New Roman" w:hAnsi="Times New Roman" w:cs="Times New Roman"/>
          <w:sz w:val="28"/>
          <w:szCs w:val="28"/>
        </w:rPr>
        <w:t>Таврического муниципального</w:t>
      </w:r>
    </w:p>
    <w:p w:rsidR="007B09D2" w:rsidRPr="000B73EA" w:rsidRDefault="007B09D2" w:rsidP="007B09D2">
      <w:pPr>
        <w:tabs>
          <w:tab w:val="left" w:pos="610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B73EA">
        <w:rPr>
          <w:rFonts w:ascii="Times New Roman" w:hAnsi="Times New Roman" w:cs="Times New Roman"/>
          <w:sz w:val="28"/>
          <w:szCs w:val="28"/>
        </w:rPr>
        <w:t xml:space="preserve"> района Омской  области.</w:t>
      </w:r>
    </w:p>
    <w:p w:rsidR="007B09D2" w:rsidRPr="000B73EA" w:rsidRDefault="007B09D2" w:rsidP="007B09D2">
      <w:pPr>
        <w:tabs>
          <w:tab w:val="left" w:pos="610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B7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Тел. (38151) 3-83-94</w:t>
      </w: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B09D2" w:rsidRPr="000B73EA" w:rsidRDefault="007B09D2" w:rsidP="007B09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B09D2" w:rsidRDefault="007B09D2" w:rsidP="007B09D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E7FCB" w:rsidRDefault="000E7FCB" w:rsidP="00836676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F22" w:rsidRDefault="002F1F22" w:rsidP="007B09D2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«Сделать серьёзное занятие</w:t>
      </w:r>
      <w:r w:rsidRPr="005D312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ребёнка занимательным – </w:t>
      </w:r>
      <w:r w:rsidRPr="005D312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5D312B">
        <w:rPr>
          <w:b/>
          <w:bCs/>
          <w:color w:val="000000"/>
          <w:bdr w:val="none" w:sz="0" w:space="0" w:color="auto" w:frame="1"/>
        </w:rPr>
        <w:t xml:space="preserve"> «</w:t>
      </w:r>
      <w:r w:rsidRPr="005D3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другое в школе становится реальным и достижимым лишь тогда, когда человеку хочется учиться, </w:t>
      </w:r>
      <w:r w:rsidRPr="005D3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когда в учении – в том, что он ходит в школу, читает, пишет, познает, - он чувствует радость и обретает человеческую гордость.</w:t>
      </w:r>
      <w:r w:rsidRPr="005D3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В. А. Сухомлинский</w:t>
      </w:r>
    </w:p>
    <w:p w:rsidR="007B09D2" w:rsidRPr="005D312B" w:rsidRDefault="007B09D2" w:rsidP="007B09D2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проведения обобщения опыта.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стандартам второго поколения очень важно развивать у младших школьников умение учиться, т. е. формировать универсальные учебные действия. Сегодня начальное образование призвано решать свою главную задачу: закладывать основу формирования учебной деятельности ребёнка -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 Развитие познавательной активности личности в обучении требует в нашем информационном мире принципиального переосмысления важнейших элементов обучения (содержания, форм, методов) и утверждает в мысли, что стратегическим направлением активизации познавательной активности обучаемых является не усиление и увеличение числа контрольных мероприятий, а создание таких условий, которые позволят развить у учащегося разные стороны активности: интеллектуальную, личностную, социальную.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анализ указанной проблемы, передовой педагогический опыт убедили меня в том, что наиболее конструктивным решением является создание психолого-педагогических условий в обучении, в которых обучаемый может занять активную личностную позицию, в наиболее полной мере выразить себя как субъект учебной деятельности, индивидуальное «Я».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Актуальность обобщения опыта.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активность заставляет искать и находить решение проблем в окружающей ребенка действительности, которые, на первый взгляд, кажутся неразрешимыми. Познавательная активность человека не является неизменным наследственным свойством личности, поэтому, работая над её формированием и развитием у учащихся, мною были изучены и проанализированы условия, способствующие её развитию и активизации у младшего школьника: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обеспечение внутреннего принятия детьми цели предстоящей работы, т. е. обеспечение понимания того, зачем надо это делать, на какой предполагаемый результат ориентироваться;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исключение поверхностного оценивания итогов предыдущей работы и в момент актуализации знаний;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комбинирование различных форм организации учебной работы, определение их места на каждом этапе занятия;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обсуждение результатов деятельности и применение придуманных самими детьми упражнений и заданий;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обучение младших школьников рациональным способам умственной работы;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эмоциональная насыщенность занятия, «взволнованность» самого педагога (создание доброжелательного эмоционального фона в работе педагога и учеников; положительные эмоции, испытываемые детьми в процессе обучения, стимулируют их познавательную активность);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стимулирование и поощрение самих актов познавательной активности учащихся со стороны педагога;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каждом занятии ребенку должна быть предоставлена возможность выразить свое отношение к происходящему (развитие рефлексии) для осознания значимости достигнутого результата деятельности;</w:t>
      </w:r>
    </w:p>
    <w:p w:rsidR="002F1F22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организация домашнего задания по принципу самостоятельности и возможности использования полученных знаний в общении со сверстниками.</w:t>
      </w:r>
    </w:p>
    <w:p w:rsidR="007B09D2" w:rsidRPr="005D312B" w:rsidRDefault="007B09D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 педагогическая идея.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развития познавательной активности волновала великих педагогов и психологов в различные времена. Так, например, Я. А. Коменский, К. Д. Ушинский, Д. Локк, Руссо Ж-Ж определяли познавательную активность как естественное стремление учащихся к познанию. Вклад в её изучение внесли: П. Я.Гальперин, Г. А.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Цукерман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А.Венгер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Б.Эльконин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В.Давыдов и др.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отечественные педагоги и психологи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В., Лозовая В. И., Тельнова Ж. Н., Щукина Г. И. и многие другие также большое внимание уделяют изучению особенностей познавательной деятельности и способов ее активизации у младших школьников.</w:t>
      </w:r>
    </w:p>
    <w:p w:rsidR="002F1F22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Длительность работы над опытом.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72693"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проблеме я работаю четвертый  год с 2009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7B09D2" w:rsidRPr="005D312B" w:rsidRDefault="007B09D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F22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Степень новизны обобщения опыта.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этой проблемой побудила к поиску таких форм обучения, методов и приёмов, что позволяют повысить эффективность усвоения предметных знаний, помогают распознать в каждом школьнике его индивидуальные особенности и на этой основе воспитывать у него стремление к познанию и творчеству. Я убеждена, что это возможно только при целостном подходе к учебной деятельности.</w:t>
      </w:r>
    </w:p>
    <w:p w:rsidR="007B09D2" w:rsidRPr="005D312B" w:rsidRDefault="007B09D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Технологии,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мною в работе: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проблемного обучения;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технология;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ИКТ;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здоровье-сберегающие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Методы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объяснительно-иллюстративный;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репродуктивный;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исследовательский;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проблемное изложение;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поисковый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проекта.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работы: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общеклассная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парная;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Средства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словари и энциклопедии;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и электронные средства обучения и контроля знаний учащихся;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раздаточный и дидактический материал;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печатные пособия;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Диапазон обобщения опыта: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форм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 и приёмов обучения строится в системе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урочно-внеклассной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Технология обобщения опыта.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изучая методологические основы познавательной деятельности учащихся, я поставила перед собой</w:t>
      </w:r>
    </w:p>
    <w:p w:rsidR="007B09D2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proofErr w:type="gramStart"/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проблемы по активизации познавательных интересов младших школьников через урочную и внеурочную деятельность.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этого явилось наблюдение общего снижения интереса школьников к учебной деятельности.</w:t>
      </w:r>
    </w:p>
    <w:p w:rsidR="002F1F22" w:rsidRPr="005D312B" w:rsidRDefault="007B09D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2F1F22"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адачи: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1)Формировать положительную мотивацию учения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2)Обеспечить интеллектуальное развитие ребенка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3)Развивать личностный потенциал учащихся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4)Формировать умение самостоятельно добывать знания.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5)Создать условия для реализации творческого потенциала учеников.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я, как учитель, должна делать на уроках и во внеурочной деятельности, чтобы познавательная активность детей стала фактором успешной учёбы каждого ребёнка?! Что можно и нужно сделать, чтобы ученики с большим желанием приходили в школу? Как пробудить у ребёнка интерес к познанию нового и сделать так, чтобы он не погас на протяжении всей его жизни?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важнейших факторов развития интереса к учению - понимание детьми необходимости того или иного изучаемого материала. Для развития познавательного интереса к изучаемому материалу большое значение имеет методика преподавания данного материала. Поэтому, перед 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приступить к изучению 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либо темы, я много времени уделяю поискам активных форм и методов обучения, продумывая каждый урок, ибо урок, по словам В. А. Сухомлинского, первая искра, зажигающая факел любознательности.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с целью развития познавательной активности младшего школьника я использую</w:t>
      </w:r>
      <w:r w:rsidR="007B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средства.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Поподробнее остановлюсь на каждом из них.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Отличительными чертами познавательной активности является оригинальность мышления, умение находить нестандартные, непохожие на другие решения. А это возможно, если обучение приобретёт проблемный характер.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1.Технология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проблемного обучения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формировать познавательные интересы учащихся. Средством создания любой проблемной ситуации в учебном процессе является учебные проблемы (проблемная задача, проблемное задание, проблемный вопрос). Каждая учебная проблема подразумевает противоречие. Проблемно-диалогическое обучение предполагает использование групповой, парной, фронтальной форм обучения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проблемно-диалогического обучения в своей работе я использую и другие технологии. Так в 1-2 классах я часто обращаюсь 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игровой технологии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ведущим методом которой является игра. Ведь переход от игровой деятельности, которая является основной в детском саду, 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происходит очень болезненно. Детям тяжело сконцентрировать свое внимание, у них еще нет целенаправленной деятельности к учению, а утомляемость повышается.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эффективных средств развития интереса к учебному предмету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практике использую разнообразные предметные дидактические игры: например, по природе - «Рассели животных в домики», «Чьи детёныши?»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 и </w:t>
      </w:r>
      <w:hyperlink r:id="rId5" w:tooltip="Русский язык" w:history="1">
        <w:r w:rsidRPr="005D31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русскому языку</w:t>
        </w:r>
      </w:hyperlink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«Крестики - нолики», “Запомни математические термины», «Рыболов», «Веселый счет» , по чтению - «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Фотоглаз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«Какое слово лишнее?», “Цепочка слов”, «Назови одним словом», «Определи маршрут самолёта», «Десантники», «Помоги белке найти своё дупло», и многие другие.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применяю игры и во внеурочной деятельности. Именно там раскрываются более широкие возможности для проведения игр, которые способствуют более гармоничной, менее болезненной адаптации ребёнка в современном обществе. Наиболее часто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применимы сюжетно-ролевые игры, в которых условия игры схожи с условиями жизни в обществе. Это могут быть игры: «Хочу быть учителем», «Играем в больничку», «Отправляемся путешествовать…», «Знаем правила движения», «Играем в сказки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»и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д.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познавательного интереса у учащихся использую разнообразный занимательный материал: загадки, пословицы, ребусы, кроссворды, задачи в стихах, головоломки, задания на сообразительность, логику. Дети с удовольствием решают эти творческие задания. Расширяется кругозор, развивается и обогащается речь детей.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к урокам, на которых учащиеся получают новые знания, стараюсь пробудить в них активное зрительное восприятие. Лучшему усвоению материала способствуют средства наглядности, опорные схемы, таблицы, которые применяю на уроке.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уроки стараюсь превращать в уроки творчества, начиная их словами: «Сегодня у нас необычный урок…», «К нам в гости пришла сказка…». Вместе с любимыми сказочными героями учащиеся знакомятся с новыми терминами, закрепляют пройденный материал. Дети с большим интересом включаются в урок, который проходит быстро, интересно и даёт хороший результат.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 я стараюсь не терять связь с другими предметами. Например, обращаю внимание на правописание тех или иных слов не только на уроках русского языка, но и на уроках математики (при решении задач), чтения (при составлении плана рассказа). Или же даю интересные сведения из жизни животных не только на уроках окружающего мира, но и на уроках математики, русского языка, изобразительного искусства.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познавательной активности учащихся способствует разнообразие форм обучения. Так наряду с традиционными формами обучения я провожу и нетрадиционные уроки: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1)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урок-КВН: «КВМ - Клуб Веселых Математиков», «Что за прелесть эти сказки... » (по чтению) и др.;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2)</w:t>
      </w:r>
      <w:proofErr w:type="spellStart"/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ypo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к-соревнование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уроки я провожу при обобщении материала. Это может быть «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ринг» по математике, «Своя игра» на уроках чтения или же «Что? Где? Когда?» на ознакомлении с окружающим миром;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3)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урок-экскурсия: «В гости к осени», «В гости к зиме» (ознакомление с окружающим миром), «Математика вокруг нас» (математика) и др.;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4)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урок-путешествие. Это может быть путешествие в любую хорошо известную детям сказку «Колобок», «Царевна – лягушка», или борьба со Змеем Горынычем,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Бармалеем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д., где дети должны выполнить, какое-либо задание, чтобы помочь сказочному персонажу преодолеть препятствие.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Современным средством формирования устойчивой положительной мотивации учения считаю использование</w:t>
      </w:r>
      <w:r w:rsidR="007B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Информационно - коммуникационных технологий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Их активное внедрение на различных уроках в начальной школе способствует, во-первых, осознанному усвоению знаний учащимися, во-вторых, помогает развивать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учащихся: ориентироваться в информационных потоках окружающего мира; овладевать практическими способами работы с информацией;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умения, позволяющие обмениваться информацией с помощью современных технических средств.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кабинет оснащен комплектом компьютерного оборудования, что дало мне возможность более тщательно изучить вопрос использования ИКТ на уроках. В результате на уроках я использую разные формы применения ИКТ:  презентации; тренажёры; 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;·  тесты;  развивающие игры;  музыкальное сопровождение уроков;  использование возможностей Интернет сообществ;  проектная деятельность.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также использую на уроке для фронтальной проверки предыдущего материала.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младшего школьника всё более широкое применение находит 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 проекта.</w:t>
      </w:r>
      <w:r w:rsidR="0033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иллюстративных с помощью рисунков сочинений на бумаге традиционно для начальной школы. Использование возможностей ИКТ значительно расширяет возможности данной модели учебной деятельности.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научить ученика самостоятельному поиску, добыванию знаний из разных источников. Особенно ярко это наблюдается на уроках окружающего мира. К урокам по теме курса ребята часто готовят сообщения, подбирают картинки, расспрашивают родителей, наблюдают. На уроке каждый старается поделиться знаниями, которые он добыл: « Я вот что ещё узнал, а я хочу добавить…». Сообщения сначала помогают готовить родители, потом (после знакомства с компьютером, возможностями интернета, печатными источниками из библиотеки) дети научатся готовить их сами.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представленная на компьютерных дисках, позволяет проводить виртуальные экскурсии, путешествовать, что сближает ребёнка с достижениями человечества. Такие включения в урок и на мероприятиях для учащихся наиболее интересны.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интерне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 я собрала банк презентаций по всем предметам.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широко ИКТ применяю и во внеурочной деятельности. К родительскому собранию готовлю презентации, видеоролики, слайд-шоу о жизни класса, в которых отражаю успехи и достижения каждого ребенка, пусть даже и незначительные. Осваиваю ресурсы сайта «Дневник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для налаживания обратной связи с родителями. 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 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информационно-коммуникационных технологий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каждом своем уроке не забываю применять элементы </w:t>
      </w:r>
      <w:proofErr w:type="spellStart"/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технологий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это снижение нагрузок на уроках, дозированные домашние задания, физкультминутки, смена позиций учащихся, динамические паузы, беседы и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КВНы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одним современным и развивающим средством познавательной активности считаю</w:t>
      </w:r>
      <w:r w:rsidR="00772693"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коллективные способы обучения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КСО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такая организация учебного процесса, при котором обучение осуществляется путем общения в «динамических парах» (со сменным составом), когда каждый учит (проучивает) каждого.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 доказали, что человек запоминает:</w:t>
      </w:r>
      <w:r w:rsidR="000B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- от того, что услышал</w:t>
      </w:r>
      <w:r w:rsidR="000B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 - от того, что увидел</w:t>
      </w:r>
      <w:r w:rsidR="000B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- услышал и увидел</w:t>
      </w:r>
      <w:r w:rsidR="000B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70% - обсудил с другими</w:t>
      </w:r>
      <w:r w:rsidR="000B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- испытал на опыте</w:t>
      </w:r>
      <w:r w:rsidR="000B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90% - в практике, научил еще кого-то.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Активное взаимодействие учащихся с учителем и друг с другом облегчает усвоение материала.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ситуациях я применяю некоторые методики КСО, автором которых является А. Г.Ривин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(не читать)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изучение текстового материала по любому учебному предмету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взаимопередача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взаимообмен заданиями (составь словарный диктант)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решение задач и примеров по учебнику (взаимопомощь, взаимопроверка)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взаимные диктанты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разучивание стихотворений в сменных парах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выполнение упражнений в парах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работа по вопросам к тексту.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 стараюсь внедрять эту методику, детям она интересна. Выполняя работу в парах, каждый проявляет себя, показывая глубину изучаемого вопроса. Например, мои ученики очень любят составлять словарные диктанты для друга, потом проверять их и оценивать работу. Очень эффективна работа в парах по разучиванию стихотворений или таблицы сложения, умножения, что помогает вторичному закреплению материала.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ребята проверяют и оценивают работу другого, причём каждую поставленную отметку они должны обосновать, зная критерии оценивания, что помогает ребёнку реально оценить и свою деятельность.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Эффективными и развивающими, побуждающими к активной мыслительной деятельности, способствующими развитию всех видов памяти, внимания, восприятия, речи, благоприятно влияющими на социализацию ученика являются приемы, основанные на противоречиях – всем известной </w:t>
      </w: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теории решения изобретательских задач (ТРИЗ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Эти приемы очень просты, но высокоэффективны.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Приведу один из приемов, используемых мной - «Разминка». Перед началом разминки детям даю соответствующую установку, например: «Ребята, вам будет предложена серия простых вопросов, однако работа усложняется тем, что ее придется выполнять в высоком темпе. Ваша задача: прослушать очень внимательно каждый вопрос, как можно быстрее дать на него четкий ответ». После этого работа проходит в форме учебного диалога. Учащиеся могут отвечать хором, не поднимая руки (цель: кто быстрее).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Возможный вариант разминки: 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1)-Какое сегодня число?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день недели был вчера?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стола 4 угла. Один угол отпилили. Сколько осталось? (5)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Как правильно 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сумма чисел 5  + 7 равна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одиннадцати или -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адиннадцати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(двенадцати).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-Какая третья буква в слове вокзал? (к)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четвертая в слове солнце? (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будет 6 + 6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6? (7, потому что первое действие - деление).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Сколько дней - в ноябре? (30)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букв в имени белобоки? (40 а)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называется третья буква алфавита с конца? (э) А пятая сначала? (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мы слышим в начале урока? (букву - У).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2)-Реши задачу: «Представь, что - ты шофер. В твоем автобусе 18 мест занято мужчинами и 12  - женщинами, кроме того, 4 ребенка стоят. Сколько лет шоферу?».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разминки придают дух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соревновательности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концентрируют внимание, развивают у детей умение переключаться с одного вида деятельности на другой, устанавливается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связь. Задания для подобных разминок подбираю в соответствии с уровнем знаний, общего развития учащихся. Разминки усложняю постепенно.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методика ТРИЗ в разных формах успешно используется мною при проведении классных часов, при организации работы предметных факультативов и кружков.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Единство обучения и воспитания на уроках нашло свое применение и развитие во внеклассной работе. Активизируют познавательный интерес кружки, экскурсии,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КВНы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викторины, интеллектуальные игры, предметные недели и другие формы внеклассной работы.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значение различных видов внеклассной работы состоит в том, что она помогает усилить интерес учащихся к предмету, содействует развитию их способностей. Внеклассная работа позволяет сочетать разные виды деятельности младшего школьника: учебную, трудовую, коммуникативную, игровую.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Внеклассные занятия и кружки стараюсь организовать так, чтобы каждый ученик, исходя из своих индивидуальных особенностей и интереса, мог работать на этих занятиях с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увлечением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содержанию внеклассное занятие должно быть связано с работой на уроке, но здесь решаются задачи повышенной трудности, задачи – смекалки, задачи – шутки, занимательные задачи, логические задачи, примеры, уравнения, для решения которых используются интересные приемы. Предлагаются задания на заполнение магических квадратов, разгадывание ребусов, шарад, кроссвордов и т. д. На занятиях сочетаю коллективную работу и индивидуальную. Учитывая все вышесказанное, я провожу такие внеклассные мероприятия, как:  предметные кружки;  интеллектуальные игры;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викторины; 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КВНы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 Конкурсы;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Результативность опыта.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 по данной проблеме дает определенные позитивные результаты: изменились количественные показатели учебной деятельности учащихся и 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заметен качественный рост личности ученика. Количественные результаты работы – это качество знаний учащихся, что позволяет говорить о достаточной степени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активности учащихся. У детей безболезненно прошёл период адаптации к школе, ребята ощущают себя полноправными членами классного коллектива с его правами и обязанностями.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знаний учащихся за два последних года показал, что учебный материал учащимися усвоен. Ка</w:t>
      </w:r>
      <w:r w:rsidR="0079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 знаний постепенно растет</w:t>
      </w:r>
      <w:r w:rsidR="00772693"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57,7% до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693"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58,1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2F1F22" w:rsidRPr="005D312B" w:rsidRDefault="002F1F22" w:rsidP="002F1F2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учащихся в активную учебно-познавательную деятельность на всех этапах урока и внеурочной деятельности, максимальное использование самостоятельности учащихся позволяет обеспечить положительную динамику по результатам диагностики методики Ч.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И.Спилбергера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«Оценка уровня познавательной активности» по сравнению с 1 классом: количество учащихся с высоким уровнем познавательной активности пока стабильно сохраняется, со средним – возросло на 5%, с низким уровнем стало на 15% меньше.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359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  <w:proofErr w:type="gramStart"/>
      <w:r w:rsidR="003359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B0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3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Проведённая мною работа подтвердила актуальность проблемы, её сложность и многоплановость, позволила сделать и сформулировать основные теоретические выводы: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Развивая познавательную активность, воспитывая стремление к знаниям, мы развиваем личность маленького человека, умеющего мыслить, сопереживать, творить.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Вопросы развития познавательной активности младшего школьника актуальны, важны для каждого педагога, которому небезразлична судьба своих учеников.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мне хочется сказать о том, что профессионализм учителя во многом определяется требовательностью к самому себе. Не к ученикам, а именно к себе. Ученики могут иногда казаться и невнимательными, и ленивыми, и агрессивными, и слабыми, и заносчивыми. Но учительская задача состоит в том, чтобы вооружить их знаниями, навыками добывать эти знания, умениями отзывчиво и инициативно сотрудничать с другими и развивать в себе 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лучшее, что делает человека человеком.</w:t>
      </w:r>
    </w:p>
    <w:p w:rsidR="002F1F22" w:rsidRPr="005D312B" w:rsidRDefault="00335962" w:rsidP="002F1F22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 w:rsidR="002F1F22" w:rsidRPr="005D312B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="002F1F22" w:rsidRPr="005D31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Диагностические мероприятия по определению уровня познавательной активности младших школьников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Предлагаемый метод диагностики познавательной активности основан на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опроснике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Д.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Спилбергера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направленном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уровней познавательной активности, тревожности и гнева как актуальных состояний и как свойств личности. Настоящий вариант дополнен нами новыми вопросами и новым вариантом обработки и определен нами как методика «Оценка уровня познавательной активности» (Уровень познавательной активности младших школьников определялся по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пятибальной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шкале, путем вывода среднего балла по всем ответам на вопросы, которые представлены в Приложении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распределялся в соответствии с оценочной шкалой.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– 4,0 – 5 баллов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уровень – 3,0 – 3,9 балла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 уровень – 2,5 – 2,9 балла</w:t>
      </w: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Критерии определения уровней познавательной активности представлены в Таблице 1.</w:t>
      </w:r>
    </w:p>
    <w:p w:rsidR="002F1F22" w:rsidRPr="005D312B" w:rsidRDefault="002F1F22" w:rsidP="002F1F22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Таблица 1 – Критерии определения уровней познавательной активности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6"/>
      </w:tblGrid>
      <w:tr w:rsidR="002F1F22" w:rsidRPr="005D312B" w:rsidTr="002F1F22"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– творческий.</w:t>
            </w:r>
          </w:p>
        </w:tc>
      </w:tr>
      <w:tr w:rsidR="002F1F22" w:rsidRPr="005D312B" w:rsidTr="002F1F22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Характеризуется интересом и стремлением не только проникнуть глубоко в сущность явлений и их взаимосвязей, но и найти для этой цели новый способ. Данный уровень активности обеспечивается возбуждением высокой степени рассогласования между тем, что учащийся знал, что уже встречалось в его опыте и новой информацией, новым явлением. Активность, как качество деятельности личности, является неотъемлемым условием и показателем реализации любого принципа обучения.</w:t>
            </w:r>
          </w:p>
        </w:tc>
      </w:tr>
      <w:tr w:rsidR="002F1F22" w:rsidRPr="005D312B" w:rsidTr="002F1F22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– интерпретирующая активность.</w:t>
            </w:r>
          </w:p>
        </w:tc>
      </w:tr>
      <w:tr w:rsidR="002F1F22" w:rsidRPr="005D312B" w:rsidTr="002F1F22">
        <w:trPr>
          <w:trHeight w:val="1891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Характеризуется стремлением учащегося к выявлению смысла изучаемого содержания, стремлением познать связи между явлениями и процессами, овладеть способами применения знаний в измененных условиях. Характерный показатель: большая устойчивость волевых усилий, которая проявляется в том, что учащийся стремится довести начатое дело до конца, при затруднении не отказывается от выполнения задания, а ищет пути решения.</w:t>
            </w:r>
          </w:p>
        </w:tc>
      </w:tr>
      <w:tr w:rsidR="002F1F22" w:rsidRPr="005D312B" w:rsidTr="002F1F22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– воспроизводящая активность.</w:t>
            </w:r>
          </w:p>
        </w:tc>
      </w:tr>
      <w:tr w:rsidR="002F1F22" w:rsidRPr="005D312B" w:rsidTr="002F1F22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Характеризуется стремлением учащегося понять, запомнить и воспроизвести знания, овладеть способом его применения по образцу. Этот уровень отличается неустойчивостью волевых усилий школьника, отсутствием у учащихся интереса к углублению знаний, отсутствие вопросов типа: «Почему?»</w:t>
            </w:r>
          </w:p>
        </w:tc>
      </w:tr>
    </w:tbl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проводится фронтально – с группой учащихся. После раздачи бланков младшим школьникам предлагается прочесть инструкцию, обратить внимание </w:t>
      </w:r>
      <w:proofErr w:type="gram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пример, затем</w:t>
      </w:r>
      <w:proofErr w:type="gram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экспериментатор должен ответить на все задаваемые школьниками вопросы. Следует проверить, как каждый из учащихся выполнил задание, точно ли понял инструкцию, вновь ответить на вопросы. После этого учащиеся работают самостоятельно, и экспериментатор ни на какие вопросы не отвечает. Заполнение шкалы вместе с чтением инструкции — 10–15 мин. </w:t>
      </w:r>
      <w:proofErr w:type="spellStart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19 вопросов.</w:t>
      </w:r>
    </w:p>
    <w:p w:rsidR="002F1F22" w:rsidRPr="005D312B" w:rsidRDefault="002F1F22" w:rsidP="002F1F2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результаты младших школьников по уровням познавательной активности, которые были распределены в соответствии со шкалой.</w:t>
      </w:r>
    </w:p>
    <w:p w:rsidR="002F1F22" w:rsidRPr="005D312B" w:rsidRDefault="002F1F22" w:rsidP="002F1F22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D31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Таблица 2 – Результаты оценки познавательной активности младших школьников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1"/>
        <w:gridCol w:w="1980"/>
        <w:gridCol w:w="2433"/>
        <w:gridCol w:w="2447"/>
      </w:tblGrid>
      <w:tr w:rsidR="002F1F22" w:rsidRPr="005D312B" w:rsidTr="00836676">
        <w:trPr>
          <w:trHeight w:val="50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Имя, Ф.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F22" w:rsidRPr="005D312B" w:rsidRDefault="002F1F22" w:rsidP="002F1F2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  <w:p w:rsidR="002F1F22" w:rsidRPr="005D312B" w:rsidRDefault="002F1F22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</w:tr>
      <w:tr w:rsidR="00836676" w:rsidRPr="005D312B" w:rsidTr="00836676">
        <w:trPr>
          <w:trHeight w:val="5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83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А.Сергей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CD78CD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836676" w:rsidRPr="005D312B" w:rsidTr="00836676">
        <w:trPr>
          <w:trHeight w:val="5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7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B0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Дима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CD78CD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6A7C11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836676">
        <w:trPr>
          <w:trHeight w:val="5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83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Д.Арина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CD78CD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836676">
        <w:trPr>
          <w:trHeight w:val="72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836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Е.Анна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836676">
        <w:trPr>
          <w:trHeight w:val="570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836676">
            <w:pPr>
              <w:spacing w:after="150" w:line="5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Е.Саша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CD78CD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232331">
        <w:trPr>
          <w:trHeight w:val="5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83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Ж. Кристина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CD78CD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232331">
        <w:trPr>
          <w:trHeight w:val="5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83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К.Данил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836676" w:rsidRPr="005D312B" w:rsidTr="00232331">
        <w:trPr>
          <w:trHeight w:val="5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836676">
            <w:pPr>
              <w:spacing w:after="150" w:line="5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83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К. Иван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836676">
        <w:trPr>
          <w:trHeight w:val="1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К.Коля</w:t>
            </w:r>
          </w:p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836676" w:rsidRPr="005D312B" w:rsidTr="00836676">
        <w:trPr>
          <w:trHeight w:val="733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М.Катя</w:t>
            </w:r>
          </w:p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836676" w:rsidRPr="005D312B" w:rsidTr="00232331">
        <w:trPr>
          <w:trHeight w:val="5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83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М.Вероника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CD78CD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836676" w:rsidRPr="005D312B" w:rsidTr="00232331">
        <w:trPr>
          <w:trHeight w:val="5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М.Андрей</w:t>
            </w:r>
          </w:p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232331">
        <w:trPr>
          <w:trHeight w:val="19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Р. Ангелина</w:t>
            </w:r>
          </w:p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232331">
        <w:trPr>
          <w:trHeight w:val="150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Р.Артем</w:t>
            </w:r>
          </w:p>
          <w:p w:rsidR="00836676" w:rsidRPr="005D312B" w:rsidRDefault="00836676" w:rsidP="006A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CD78CD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2A3A87">
        <w:trPr>
          <w:trHeight w:val="714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6" w:rsidRPr="005D312B" w:rsidRDefault="00836676" w:rsidP="0083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Р.Женя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CD78CD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836676" w:rsidRPr="005D312B" w:rsidTr="00836676">
        <w:trPr>
          <w:trHeight w:val="135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836676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hAnsi="Times New Roman" w:cs="Times New Roman"/>
                <w:sz w:val="24"/>
                <w:szCs w:val="24"/>
              </w:rPr>
              <w:t>Ф.Матвей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CD78CD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5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836676" w:rsidRPr="005D312B" w:rsidTr="00836676">
        <w:trPr>
          <w:trHeight w:val="4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47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уровень по классу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47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CD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676" w:rsidRPr="005D312B" w:rsidRDefault="00836676" w:rsidP="002F1F22">
            <w:pPr>
              <w:spacing w:after="150" w:line="47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6676" w:rsidRPr="005D312B" w:rsidRDefault="00836676" w:rsidP="002F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2E9" w:rsidRPr="005D312B" w:rsidRDefault="008D12E9" w:rsidP="000B73EA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D12E9" w:rsidRPr="005D312B" w:rsidSect="008D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31A3"/>
    <w:multiLevelType w:val="multilevel"/>
    <w:tmpl w:val="68CC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E35B80"/>
    <w:multiLevelType w:val="multilevel"/>
    <w:tmpl w:val="3158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F22"/>
    <w:rsid w:val="000B73EA"/>
    <w:rsid w:val="000E7FCB"/>
    <w:rsid w:val="001A17DD"/>
    <w:rsid w:val="001D5B1C"/>
    <w:rsid w:val="002F1F22"/>
    <w:rsid w:val="00335962"/>
    <w:rsid w:val="005C4A99"/>
    <w:rsid w:val="005D312B"/>
    <w:rsid w:val="00610743"/>
    <w:rsid w:val="00712F8A"/>
    <w:rsid w:val="00772693"/>
    <w:rsid w:val="0079357C"/>
    <w:rsid w:val="007A7ECB"/>
    <w:rsid w:val="007B09D2"/>
    <w:rsid w:val="00836676"/>
    <w:rsid w:val="008D12E9"/>
    <w:rsid w:val="00C03AAC"/>
    <w:rsid w:val="00CD78CD"/>
    <w:rsid w:val="00CE104E"/>
    <w:rsid w:val="00F1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E9"/>
  </w:style>
  <w:style w:type="paragraph" w:styleId="1">
    <w:name w:val="heading 1"/>
    <w:basedOn w:val="a"/>
    <w:link w:val="10"/>
    <w:uiPriority w:val="9"/>
    <w:qFormat/>
    <w:rsid w:val="002F1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F22"/>
    <w:rPr>
      <w:b/>
      <w:bCs/>
    </w:rPr>
  </w:style>
  <w:style w:type="character" w:customStyle="1" w:styleId="apple-converted-space">
    <w:name w:val="apple-converted-space"/>
    <w:basedOn w:val="a0"/>
    <w:rsid w:val="002F1F22"/>
  </w:style>
  <w:style w:type="character" w:styleId="a5">
    <w:name w:val="Emphasis"/>
    <w:basedOn w:val="a0"/>
    <w:uiPriority w:val="20"/>
    <w:qFormat/>
    <w:rsid w:val="002F1F22"/>
    <w:rPr>
      <w:i/>
      <w:iCs/>
    </w:rPr>
  </w:style>
  <w:style w:type="character" w:customStyle="1" w:styleId="b-share">
    <w:name w:val="b-share"/>
    <w:basedOn w:val="a0"/>
    <w:rsid w:val="002F1F22"/>
  </w:style>
  <w:style w:type="character" w:customStyle="1" w:styleId="b-share-form-button">
    <w:name w:val="b-share-form-button"/>
    <w:basedOn w:val="a0"/>
    <w:rsid w:val="002F1F22"/>
  </w:style>
  <w:style w:type="character" w:styleId="a6">
    <w:name w:val="Hyperlink"/>
    <w:basedOn w:val="a0"/>
    <w:uiPriority w:val="99"/>
    <w:semiHidden/>
    <w:unhideWhenUsed/>
    <w:rsid w:val="002F1F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usskij_yaz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cp:lastPrinted>2014-09-29T12:16:00Z</cp:lastPrinted>
  <dcterms:created xsi:type="dcterms:W3CDTF">2014-09-29T10:27:00Z</dcterms:created>
  <dcterms:modified xsi:type="dcterms:W3CDTF">2014-11-09T13:14:00Z</dcterms:modified>
</cp:coreProperties>
</file>