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3" w:rsidRDefault="00F15807" w:rsidP="00F15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ОБЕСПЕЧЕНИЕ ПРЕЕМСТВЕННОСТИ МЕЖДУ ДОУ И НАЧАЛЬНОЙ ШКОЛОЙ ПО ФОРМИРОВАНИЮ ПРЕДПОСЫЛОК УЧЕБНОЙ ДЕЯТЕЛЬНОСТИ В РАМКАХ ВНЕДРЕНИЯ ФГТ В ДОУ И ФГОС ОБЩЕГО НАЧАЛЬНОГО ОБРАЗОВАНИЯ</w:t>
      </w:r>
    </w:p>
    <w:p w:rsidR="00F15807" w:rsidRDefault="00F15807" w:rsidP="00F15807">
      <w:pPr>
        <w:jc w:val="center"/>
        <w:rPr>
          <w:b/>
          <w:sz w:val="32"/>
          <w:szCs w:val="32"/>
        </w:rPr>
      </w:pPr>
    </w:p>
    <w:p w:rsidR="00F15807" w:rsidRDefault="00F15807" w:rsidP="00F15807">
      <w:pPr>
        <w:pStyle w:val="a3"/>
        <w:jc w:val="both"/>
        <w:rPr>
          <w:sz w:val="32"/>
          <w:szCs w:val="32"/>
        </w:rPr>
      </w:pPr>
      <w:r w:rsidRPr="00F15807">
        <w:rPr>
          <w:sz w:val="32"/>
          <w:szCs w:val="32"/>
        </w:rPr>
        <w:t xml:space="preserve">          Введение Федеральных Государственных Требований (ФГТ) к структуре дошкольной программы, условиям ее реализации и принятие новых Федеральных Государственных Образовательных Стандартов (ФГОС) начального школьного образования – важный этап преемственности деятельности детского сада и школы. </w:t>
      </w:r>
      <w:r w:rsidR="00EE766A">
        <w:rPr>
          <w:sz w:val="32"/>
          <w:szCs w:val="32"/>
        </w:rPr>
        <w:t>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 Анализ ситуации показывает, что эта тенденция должна оставаться характерной чертой системы образования в будущем.</w:t>
      </w:r>
    </w:p>
    <w:p w:rsidR="00EE766A" w:rsidRDefault="00EE766A" w:rsidP="00F1580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52D9D">
        <w:rPr>
          <w:sz w:val="32"/>
          <w:szCs w:val="32"/>
        </w:rPr>
        <w:t>ФГТ оградили нас от понимания преемственности между детским садом и начальной школы как преемственности по учебным предметам и по тому, какие знания, умения и навыки должны давать детям в детском саду и с какими знаниями школа должна их получать.</w:t>
      </w:r>
    </w:p>
    <w:p w:rsidR="00C52D9D" w:rsidRDefault="00C52D9D" w:rsidP="00F1580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51E91">
        <w:rPr>
          <w:sz w:val="32"/>
          <w:szCs w:val="32"/>
        </w:rPr>
        <w:t>На современном этапе (в связи с введением ФГТ) произошло смещение акцента в понимании готовности ребенка к обучению в школе с интеллектуальной на личностную готовность, которая определяется сформированной «внутренней позицией школьника» (способность ребенка принять на себя новую социальную роль ученика). Во главу угла выходят сформированные познавательные мотивы обучения, то есть сознательное</w:t>
      </w:r>
      <w:r w:rsidR="007C5403">
        <w:rPr>
          <w:sz w:val="32"/>
          <w:szCs w:val="32"/>
        </w:rPr>
        <w:t xml:space="preserve"> </w:t>
      </w:r>
      <w:r w:rsidR="00551E91">
        <w:rPr>
          <w:sz w:val="32"/>
          <w:szCs w:val="32"/>
        </w:rPr>
        <w:t>желание ребенка учиться, познавать что-то новое, опираясь на уже полученные знания. Таким образом, для современного первоклассника становится важным не столько обладать инструментом познания, сколько уметь им осознанно пользоваться.</w:t>
      </w:r>
    </w:p>
    <w:p w:rsidR="007C5403" w:rsidRDefault="007C5403" w:rsidP="00F1580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Портрет выпускника ДОУ в соответствии с ФГТ:</w:t>
      </w:r>
    </w:p>
    <w:p w:rsidR="007C5403" w:rsidRDefault="007C5403" w:rsidP="007C54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физически </w:t>
      </w:r>
      <w:proofErr w:type="gramStart"/>
      <w:r>
        <w:rPr>
          <w:sz w:val="32"/>
          <w:szCs w:val="32"/>
        </w:rPr>
        <w:t>развитый</w:t>
      </w:r>
      <w:proofErr w:type="gramEnd"/>
      <w:r>
        <w:rPr>
          <w:sz w:val="32"/>
          <w:szCs w:val="32"/>
        </w:rPr>
        <w:t>, овладевший основными культурно-гигиеническими навыками;</w:t>
      </w:r>
    </w:p>
    <w:p w:rsidR="007C5403" w:rsidRDefault="007C5403" w:rsidP="007C54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любознательный, активный, эмоционально отзывчивый, овладевший средствами общения и способами взаимодействия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и</w:t>
      </w:r>
      <w:r w:rsidR="00590718">
        <w:rPr>
          <w:sz w:val="32"/>
          <w:szCs w:val="32"/>
        </w:rPr>
        <w:t xml:space="preserve"> </w:t>
      </w:r>
      <w:r>
        <w:rPr>
          <w:sz w:val="32"/>
          <w:szCs w:val="32"/>
        </w:rPr>
        <w:t>сверстниками;</w:t>
      </w:r>
    </w:p>
    <w:p w:rsidR="007C5403" w:rsidRDefault="00590718" w:rsidP="007C54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способный</w:t>
      </w:r>
      <w:proofErr w:type="gramEnd"/>
      <w:r>
        <w:rPr>
          <w:sz w:val="32"/>
          <w:szCs w:val="32"/>
        </w:rPr>
        <w:t xml:space="preserve"> управлять своим поведением и планировать свои действия;</w:t>
      </w:r>
    </w:p>
    <w:p w:rsidR="00590718" w:rsidRDefault="00590718" w:rsidP="007C54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имеющий</w:t>
      </w:r>
      <w:proofErr w:type="gramEnd"/>
      <w:r>
        <w:rPr>
          <w:sz w:val="32"/>
          <w:szCs w:val="32"/>
        </w:rPr>
        <w:t xml:space="preserve"> первичные представления о себе, обществе, мире, природе;</w:t>
      </w:r>
    </w:p>
    <w:p w:rsidR="00590718" w:rsidRDefault="00590718" w:rsidP="007C540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590718">
        <w:rPr>
          <w:b/>
          <w:sz w:val="32"/>
          <w:szCs w:val="32"/>
        </w:rPr>
        <w:t>овладевший</w:t>
      </w:r>
      <w:proofErr w:type="gramEnd"/>
      <w:r w:rsidRPr="00590718">
        <w:rPr>
          <w:b/>
          <w:sz w:val="32"/>
          <w:szCs w:val="32"/>
        </w:rPr>
        <w:t xml:space="preserve"> универсальными предпосылками учебной деятельности</w:t>
      </w:r>
      <w:r>
        <w:rPr>
          <w:b/>
          <w:sz w:val="32"/>
          <w:szCs w:val="32"/>
        </w:rPr>
        <w:t>;</w:t>
      </w:r>
    </w:p>
    <w:p w:rsidR="00590718" w:rsidRPr="00590718" w:rsidRDefault="00590718" w:rsidP="007C540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способный</w:t>
      </w:r>
      <w:proofErr w:type="gramEnd"/>
      <w:r>
        <w:rPr>
          <w:sz w:val="32"/>
          <w:szCs w:val="32"/>
        </w:rPr>
        <w:t xml:space="preserve"> решать интеллектуальные и личностные задачи (проблемы), адекватные возрасту;</w:t>
      </w:r>
    </w:p>
    <w:p w:rsidR="00590718" w:rsidRPr="00590718" w:rsidRDefault="00590718" w:rsidP="007C5403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овладевший</w:t>
      </w:r>
      <w:proofErr w:type="gramEnd"/>
      <w:r>
        <w:rPr>
          <w:sz w:val="32"/>
          <w:szCs w:val="32"/>
        </w:rPr>
        <w:t xml:space="preserve"> необходимыми умениями и навыками.</w:t>
      </w:r>
    </w:p>
    <w:p w:rsidR="00590718" w:rsidRDefault="00590718" w:rsidP="00590718">
      <w:pPr>
        <w:pStyle w:val="a3"/>
        <w:ind w:left="720"/>
        <w:jc w:val="both"/>
        <w:rPr>
          <w:sz w:val="32"/>
          <w:szCs w:val="32"/>
        </w:rPr>
      </w:pPr>
    </w:p>
    <w:p w:rsidR="00590718" w:rsidRDefault="00590718" w:rsidP="0059071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37A0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На протяжении многих лет </w:t>
      </w:r>
      <w:r w:rsidR="00AC1A44">
        <w:rPr>
          <w:sz w:val="32"/>
          <w:szCs w:val="32"/>
        </w:rPr>
        <w:t>педагоги нашей школы</w:t>
      </w:r>
      <w:r w:rsidR="00AC1A44" w:rsidRPr="00AC1A44">
        <w:rPr>
          <w:sz w:val="32"/>
          <w:szCs w:val="32"/>
        </w:rPr>
        <w:t xml:space="preserve"> </w:t>
      </w:r>
      <w:r w:rsidR="00AC1A44">
        <w:rPr>
          <w:sz w:val="32"/>
          <w:szCs w:val="32"/>
        </w:rPr>
        <w:t xml:space="preserve">сотрудничают </w:t>
      </w:r>
      <w:r w:rsidR="00237A01">
        <w:rPr>
          <w:sz w:val="32"/>
          <w:szCs w:val="32"/>
        </w:rPr>
        <w:t xml:space="preserve">с  воспитателями ДОУ №2. </w:t>
      </w:r>
      <w:proofErr w:type="gramStart"/>
      <w:r w:rsidR="00237A01">
        <w:rPr>
          <w:sz w:val="32"/>
          <w:szCs w:val="32"/>
        </w:rPr>
        <w:t>В первые</w:t>
      </w:r>
      <w:proofErr w:type="gramEnd"/>
      <w:r w:rsidR="00237A01">
        <w:rPr>
          <w:sz w:val="32"/>
          <w:szCs w:val="32"/>
        </w:rPr>
        <w:t xml:space="preserve"> классы в 2011-2012 учебном году поступило 62 человека. Психолого-педагогическое обследование перед обучением  прошли 36 человек (воспитанники МДОУ №2), 45 первоклассников прошли подготовительные занятия к школе. Посещали дошкольные учреждения 48 человек. Неорганизованных детей 14 человек.</w:t>
      </w:r>
    </w:p>
    <w:p w:rsidR="00F23F05" w:rsidRPr="00590718" w:rsidRDefault="00F23F05" w:rsidP="00590718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На основе наблюдений за детьми и анкет службы по контролю и надзору в сфере образования Иркутской области был составлен следующий портрет первоклассника школы.</w:t>
      </w:r>
    </w:p>
    <w:tbl>
      <w:tblPr>
        <w:tblStyle w:val="a4"/>
        <w:tblW w:w="0" w:type="auto"/>
        <w:tblLook w:val="04A0"/>
      </w:tblPr>
      <w:tblGrid>
        <w:gridCol w:w="817"/>
        <w:gridCol w:w="6804"/>
        <w:gridCol w:w="1134"/>
        <w:gridCol w:w="816"/>
      </w:tblGrid>
      <w:tr w:rsidR="00F23F05" w:rsidTr="00F23F05">
        <w:tc>
          <w:tcPr>
            <w:tcW w:w="817" w:type="dxa"/>
          </w:tcPr>
          <w:p w:rsidR="00F23F05" w:rsidRP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Параметры</w:t>
            </w:r>
          </w:p>
        </w:tc>
        <w:tc>
          <w:tcPr>
            <w:tcW w:w="1134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816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%</w:t>
            </w:r>
          </w:p>
        </w:tc>
      </w:tr>
      <w:tr w:rsidR="00F23F05" w:rsidTr="00F23F05">
        <w:tc>
          <w:tcPr>
            <w:tcW w:w="817" w:type="dxa"/>
          </w:tcPr>
          <w:p w:rsidR="00F23F05" w:rsidRP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F23F05">
              <w:rPr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F23F05" w:rsidRP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F23F05">
              <w:rPr>
                <w:sz w:val="32"/>
                <w:szCs w:val="32"/>
              </w:rPr>
              <w:t>Выполняет требования учителя</w:t>
            </w:r>
          </w:p>
        </w:tc>
        <w:tc>
          <w:tcPr>
            <w:tcW w:w="1134" w:type="dxa"/>
          </w:tcPr>
          <w:p w:rsidR="00F23F05" w:rsidRP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F23F05">
              <w:rPr>
                <w:sz w:val="32"/>
                <w:szCs w:val="32"/>
              </w:rPr>
              <w:t>50</w:t>
            </w:r>
          </w:p>
        </w:tc>
        <w:tc>
          <w:tcPr>
            <w:tcW w:w="816" w:type="dxa"/>
          </w:tcPr>
          <w:p w:rsidR="00F23F05" w:rsidRP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</w:tr>
      <w:tr w:rsidR="00F23F05" w:rsidTr="0004034A">
        <w:trPr>
          <w:trHeight w:val="441"/>
        </w:trPr>
        <w:tc>
          <w:tcPr>
            <w:tcW w:w="817" w:type="dxa"/>
          </w:tcPr>
          <w:p w:rsidR="00F23F05" w:rsidRP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28"/>
                <w:szCs w:val="28"/>
              </w:rPr>
            </w:pPr>
            <w:r w:rsidRPr="000403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онимает объяснения учителя на уроке</w:t>
            </w:r>
          </w:p>
        </w:tc>
        <w:tc>
          <w:tcPr>
            <w:tcW w:w="1134" w:type="dxa"/>
          </w:tcPr>
          <w:p w:rsidR="0004034A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16" w:type="dxa"/>
          </w:tcPr>
          <w:p w:rsidR="0004034A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23F05" w:rsidTr="00F23F05">
        <w:tc>
          <w:tcPr>
            <w:tcW w:w="817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F23F05" w:rsidRDefault="0004034A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Принимает учебную задачу от взрослого, удерживает цель деятельности, выбирает адекватные средства достижения данной цели</w:t>
            </w:r>
          </w:p>
        </w:tc>
        <w:tc>
          <w:tcPr>
            <w:tcW w:w="1134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</w:p>
          <w:p w:rsidR="0004034A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04034A">
              <w:rPr>
                <w:sz w:val="32"/>
                <w:szCs w:val="32"/>
              </w:rPr>
              <w:t>34</w:t>
            </w:r>
          </w:p>
        </w:tc>
        <w:tc>
          <w:tcPr>
            <w:tcW w:w="816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</w:p>
          <w:p w:rsidR="0004034A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04034A">
              <w:rPr>
                <w:sz w:val="32"/>
                <w:szCs w:val="32"/>
              </w:rPr>
              <w:t>55</w:t>
            </w:r>
          </w:p>
        </w:tc>
      </w:tr>
      <w:tr w:rsidR="00F23F05" w:rsidTr="00F23F05">
        <w:tc>
          <w:tcPr>
            <w:tcW w:w="817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Замечает и исправляет допущенную ошибку</w:t>
            </w:r>
          </w:p>
        </w:tc>
        <w:tc>
          <w:tcPr>
            <w:tcW w:w="113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16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04034A">
              <w:rPr>
                <w:sz w:val="32"/>
                <w:szCs w:val="32"/>
              </w:rPr>
              <w:t>50</w:t>
            </w:r>
          </w:p>
        </w:tc>
      </w:tr>
      <w:tr w:rsidR="00F23F05" w:rsidTr="00F23F05">
        <w:tc>
          <w:tcPr>
            <w:tcW w:w="817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04034A">
              <w:rPr>
                <w:sz w:val="32"/>
                <w:szCs w:val="32"/>
              </w:rPr>
              <w:t>Редко отвлекается на уроке</w:t>
            </w:r>
          </w:p>
        </w:tc>
        <w:tc>
          <w:tcPr>
            <w:tcW w:w="113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16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F23F05" w:rsidTr="00F23F05">
        <w:tc>
          <w:tcPr>
            <w:tcW w:w="817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04034A">
              <w:rPr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F23F05" w:rsidRPr="0004034A" w:rsidRDefault="0004034A" w:rsidP="00590718">
            <w:pPr>
              <w:pStyle w:val="a3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Способен</w:t>
            </w:r>
            <w:proofErr w:type="gramEnd"/>
            <w:r>
              <w:rPr>
                <w:sz w:val="32"/>
                <w:szCs w:val="32"/>
              </w:rPr>
              <w:t xml:space="preserve"> управлять своим поведением, достаточно дисциплинирован</w:t>
            </w:r>
          </w:p>
        </w:tc>
        <w:tc>
          <w:tcPr>
            <w:tcW w:w="113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38</w:t>
            </w:r>
          </w:p>
        </w:tc>
        <w:tc>
          <w:tcPr>
            <w:tcW w:w="816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желанием пошел в школу</w:t>
            </w:r>
          </w:p>
        </w:tc>
        <w:tc>
          <w:tcPr>
            <w:tcW w:w="113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816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Демонстрирует эмоциональную привязанность к учителю</w:t>
            </w:r>
          </w:p>
        </w:tc>
        <w:tc>
          <w:tcPr>
            <w:tcW w:w="113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816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</w:t>
            </w:r>
          </w:p>
        </w:tc>
        <w:tc>
          <w:tcPr>
            <w:tcW w:w="680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Охотно взаимодействует с одноклассниками</w:t>
            </w:r>
          </w:p>
        </w:tc>
        <w:tc>
          <w:tcPr>
            <w:tcW w:w="1134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60</w:t>
            </w:r>
          </w:p>
        </w:tc>
        <w:tc>
          <w:tcPr>
            <w:tcW w:w="816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F23F05" w:rsidRPr="002560B0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В устных высказываниях отсутствуют серьезные ошибки</w:t>
            </w:r>
          </w:p>
        </w:tc>
        <w:tc>
          <w:tcPr>
            <w:tcW w:w="1134" w:type="dxa"/>
          </w:tcPr>
          <w:p w:rsidR="00F23F05" w:rsidRDefault="00F23F05" w:rsidP="00590718">
            <w:pPr>
              <w:pStyle w:val="a3"/>
              <w:jc w:val="both"/>
              <w:rPr>
                <w:b/>
                <w:sz w:val="32"/>
                <w:szCs w:val="32"/>
              </w:rPr>
            </w:pPr>
          </w:p>
          <w:p w:rsidR="002560B0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36</w:t>
            </w:r>
          </w:p>
        </w:tc>
        <w:tc>
          <w:tcPr>
            <w:tcW w:w="816" w:type="dxa"/>
          </w:tcPr>
          <w:p w:rsidR="00F23F05" w:rsidRDefault="00F23F05" w:rsidP="00590718">
            <w:pPr>
              <w:pStyle w:val="a3"/>
              <w:jc w:val="both"/>
              <w:rPr>
                <w:sz w:val="32"/>
                <w:szCs w:val="32"/>
              </w:rPr>
            </w:pPr>
          </w:p>
          <w:p w:rsidR="002560B0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Может самостоятельно изложить или пересказать текс на заданную тему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12.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Лексический запас соответствует возрасту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41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13.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Развита зрительно-двигательная координация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14.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Мелкая моторика достаточно развита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15.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Имеет достаточный уровень подготовки по чтению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16.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Имеет достаточный уровень подготовки по письму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F23F05" w:rsidTr="00E27FAB">
        <w:trPr>
          <w:trHeight w:val="331"/>
        </w:trPr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17.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Имеет достаточный уровень подготовки по счету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2560B0">
              <w:rPr>
                <w:sz w:val="32"/>
                <w:szCs w:val="32"/>
              </w:rPr>
              <w:t>24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F23F05" w:rsidTr="00F23F05">
        <w:tc>
          <w:tcPr>
            <w:tcW w:w="817" w:type="dxa"/>
          </w:tcPr>
          <w:p w:rsidR="00F23F05" w:rsidRPr="00E27FAB" w:rsidRDefault="00E27FAB" w:rsidP="00590718">
            <w:pPr>
              <w:pStyle w:val="a3"/>
              <w:jc w:val="both"/>
              <w:rPr>
                <w:sz w:val="32"/>
                <w:szCs w:val="32"/>
              </w:rPr>
            </w:pPr>
            <w:r w:rsidRPr="00E27FAB">
              <w:rPr>
                <w:sz w:val="32"/>
                <w:szCs w:val="32"/>
              </w:rPr>
              <w:t>18.</w:t>
            </w:r>
          </w:p>
        </w:tc>
        <w:tc>
          <w:tcPr>
            <w:tcW w:w="680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Посещал ДОУ</w:t>
            </w:r>
          </w:p>
        </w:tc>
        <w:tc>
          <w:tcPr>
            <w:tcW w:w="1134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816" w:type="dxa"/>
          </w:tcPr>
          <w:p w:rsidR="00F23F05" w:rsidRPr="002560B0" w:rsidRDefault="002560B0" w:rsidP="00590718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</w:tr>
    </w:tbl>
    <w:p w:rsidR="00F23F05" w:rsidRDefault="00F23F05" w:rsidP="00590718">
      <w:pPr>
        <w:pStyle w:val="a3"/>
        <w:jc w:val="both"/>
        <w:rPr>
          <w:b/>
          <w:sz w:val="32"/>
          <w:szCs w:val="32"/>
        </w:rPr>
      </w:pPr>
    </w:p>
    <w:p w:rsidR="002560B0" w:rsidRDefault="002560B0" w:rsidP="00590718">
      <w:pPr>
        <w:pStyle w:val="a3"/>
        <w:jc w:val="both"/>
        <w:rPr>
          <w:sz w:val="32"/>
          <w:szCs w:val="32"/>
        </w:rPr>
      </w:pPr>
      <w:r w:rsidRPr="002560B0">
        <w:rPr>
          <w:sz w:val="32"/>
          <w:szCs w:val="32"/>
        </w:rPr>
        <w:t xml:space="preserve">     Наблюдения за </w:t>
      </w:r>
      <w:proofErr w:type="gramStart"/>
      <w:r w:rsidRPr="002560B0">
        <w:rPr>
          <w:sz w:val="32"/>
          <w:szCs w:val="32"/>
        </w:rPr>
        <w:t>обучающимися</w:t>
      </w:r>
      <w:proofErr w:type="gramEnd"/>
      <w:r w:rsidRPr="002560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адаптационный период показало, что с высоким уровнем школьно</w:t>
      </w:r>
      <w:r w:rsidR="002F1B1D">
        <w:rPr>
          <w:sz w:val="32"/>
          <w:szCs w:val="32"/>
        </w:rPr>
        <w:t>й зрелости (</w:t>
      </w:r>
      <w:r>
        <w:rPr>
          <w:sz w:val="32"/>
          <w:szCs w:val="32"/>
        </w:rPr>
        <w:t>по результатам обследований психолога школы) поступило 18 обучающихся (29%), со средним – 36 человек (58%), низкий имеют 8 (13%) обучающихся.</w:t>
      </w:r>
    </w:p>
    <w:p w:rsidR="00697ACD" w:rsidRDefault="000F1748" w:rsidP="0059071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результате, по данным педагогического обследования, мы видим, </w:t>
      </w:r>
      <w:r w:rsidR="0002371C">
        <w:rPr>
          <w:sz w:val="32"/>
          <w:szCs w:val="32"/>
        </w:rPr>
        <w:t xml:space="preserve"> что многие дети не понимают объяснения учителя, не могут принимать учебную задачу от взрослого, удерживать цель деятельности, выбирать адекватные средства достижения цели.</w:t>
      </w:r>
    </w:p>
    <w:p w:rsidR="000F1748" w:rsidRDefault="000F1748" w:rsidP="0059071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42016" w:rsidRDefault="00842016" w:rsidP="0059071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2371C" w:rsidRPr="00842016" w:rsidRDefault="00842016" w:rsidP="00590718">
      <w:pPr>
        <w:pStyle w:val="a3"/>
        <w:jc w:val="both"/>
        <w:rPr>
          <w:color w:val="0D0D0D" w:themeColor="text1" w:themeTint="F2"/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2F1B1D" w:rsidRDefault="002F1B1D" w:rsidP="0059071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Основные задачи сотрудничества ДОУ и школы:</w:t>
      </w:r>
    </w:p>
    <w:p w:rsidR="002F1B1D" w:rsidRDefault="002F1B1D" w:rsidP="002F1B1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установление единства стремлений и взглядов на воспитательный процесс</w:t>
      </w:r>
      <w:r w:rsidRPr="002F1B1D">
        <w:rPr>
          <w:sz w:val="32"/>
          <w:szCs w:val="32"/>
        </w:rPr>
        <w:t xml:space="preserve"> </w:t>
      </w:r>
      <w:r>
        <w:rPr>
          <w:sz w:val="32"/>
          <w:szCs w:val="32"/>
        </w:rPr>
        <w:t>между детским садом, семьей и школой;</w:t>
      </w:r>
    </w:p>
    <w:p w:rsidR="002F1B1D" w:rsidRDefault="002F1B1D" w:rsidP="00B33F4C">
      <w:pPr>
        <w:pStyle w:val="a3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выработка общих целей и воспитательных задач, путем достижения намеченных результатов;</w:t>
      </w:r>
    </w:p>
    <w:p w:rsidR="002F1B1D" w:rsidRDefault="002F1B1D" w:rsidP="002F1B1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D10FC7" w:rsidRDefault="00D10FC7" w:rsidP="002F1B1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всестороннее психолого-педагогическое просвещение родителей;</w:t>
      </w:r>
    </w:p>
    <w:p w:rsidR="00D10FC7" w:rsidRDefault="00D10FC7" w:rsidP="00D10FC7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2F1B1D" w:rsidRDefault="00D10FC7" w:rsidP="002F1B1D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в семьях позитивного отношения к активной общественной и социальной деятельности детей.</w:t>
      </w:r>
    </w:p>
    <w:p w:rsidR="00D10FC7" w:rsidRDefault="00B33F4C" w:rsidP="00B33F4C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:rsidR="00B33F4C" w:rsidRDefault="00B33F4C" w:rsidP="00B33F4C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2016">
        <w:rPr>
          <w:sz w:val="32"/>
          <w:szCs w:val="32"/>
        </w:rPr>
        <w:t>Нами составлен совместный план работы по реализации преемственности</w:t>
      </w:r>
      <w:r w:rsidR="000F1748">
        <w:rPr>
          <w:sz w:val="32"/>
          <w:szCs w:val="32"/>
        </w:rPr>
        <w:t>.</w:t>
      </w:r>
      <w:r>
        <w:rPr>
          <w:sz w:val="32"/>
          <w:szCs w:val="32"/>
        </w:rPr>
        <w:t xml:space="preserve"> Организация работы по преемственности нашей школы и ДОУ №2 осуществляется по трем основным направлениям.</w:t>
      </w:r>
    </w:p>
    <w:p w:rsidR="00B33F4C" w:rsidRDefault="005B4A53" w:rsidP="00B33F4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взаимодействие педагогов</w:t>
      </w:r>
      <w:r w:rsidR="00607611">
        <w:rPr>
          <w:b/>
          <w:sz w:val="32"/>
          <w:szCs w:val="32"/>
        </w:rPr>
        <w:t xml:space="preserve"> </w:t>
      </w:r>
      <w:r w:rsidR="00B33F4C">
        <w:rPr>
          <w:sz w:val="32"/>
          <w:szCs w:val="32"/>
        </w:rPr>
        <w:t xml:space="preserve">(клуб </w:t>
      </w:r>
      <w:r w:rsidR="00B33F4C" w:rsidRPr="00B33F4C">
        <w:rPr>
          <w:sz w:val="32"/>
          <w:szCs w:val="32"/>
        </w:rPr>
        <w:t>педагогического общения</w:t>
      </w:r>
      <w:r w:rsidR="00607611">
        <w:rPr>
          <w:sz w:val="32"/>
          <w:szCs w:val="32"/>
        </w:rPr>
        <w:t xml:space="preserve"> (ознакомление с требованиями ФГОС к выпускнику, обсуждение критериев «портрета выпускника»)</w:t>
      </w:r>
      <w:r w:rsidR="00B33F4C" w:rsidRPr="00B33F4C">
        <w:rPr>
          <w:sz w:val="32"/>
          <w:szCs w:val="32"/>
        </w:rPr>
        <w:t>,</w:t>
      </w:r>
      <w:r w:rsidR="007A3AD9">
        <w:rPr>
          <w:sz w:val="32"/>
          <w:szCs w:val="32"/>
        </w:rPr>
        <w:t xml:space="preserve"> изучение и обмен образовательных технологий, используемых педагогами ДОУ и школы,</w:t>
      </w:r>
      <w:r w:rsidR="00B33F4C" w:rsidRPr="00B33F4C">
        <w:rPr>
          <w:sz w:val="32"/>
          <w:szCs w:val="32"/>
        </w:rPr>
        <w:t xml:space="preserve"> тренинги коммуникативного общения, педагогическая </w:t>
      </w:r>
      <w:r w:rsidR="00B33F4C">
        <w:rPr>
          <w:sz w:val="32"/>
          <w:szCs w:val="32"/>
        </w:rPr>
        <w:t xml:space="preserve">лаборатория «Первые шаги ребенка в школе» социально-психологическая адаптация первоклассника к школе (тестирование, диагностика, </w:t>
      </w:r>
      <w:proofErr w:type="spellStart"/>
      <w:r w:rsidR="00B33F4C">
        <w:rPr>
          <w:sz w:val="32"/>
          <w:szCs w:val="32"/>
        </w:rPr>
        <w:t>взаимопосещение</w:t>
      </w:r>
      <w:proofErr w:type="spellEnd"/>
      <w:r w:rsidR="00B33F4C">
        <w:rPr>
          <w:sz w:val="32"/>
          <w:szCs w:val="32"/>
        </w:rPr>
        <w:t xml:space="preserve"> уроков в 1-х классах и занятий в подготовительных группах</w:t>
      </w:r>
      <w:r w:rsidR="00607611">
        <w:rPr>
          <w:sz w:val="32"/>
          <w:szCs w:val="32"/>
        </w:rPr>
        <w:t>, круглый стол «Результаты обучения первоклассников», консультационные пункты;</w:t>
      </w:r>
      <w:proofErr w:type="gramEnd"/>
      <w:r w:rsidR="00BE03AB">
        <w:rPr>
          <w:sz w:val="32"/>
          <w:szCs w:val="32"/>
        </w:rPr>
        <w:t xml:space="preserve"> занятия в школе будущих первоклассников, психологическая служба)</w:t>
      </w:r>
    </w:p>
    <w:p w:rsidR="00607611" w:rsidRPr="00BE03AB" w:rsidRDefault="00607611" w:rsidP="00B33F4C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607611">
        <w:rPr>
          <w:b/>
          <w:sz w:val="32"/>
          <w:szCs w:val="32"/>
        </w:rPr>
        <w:t>работа с детьми</w:t>
      </w:r>
      <w:r>
        <w:rPr>
          <w:b/>
          <w:sz w:val="32"/>
          <w:szCs w:val="32"/>
        </w:rPr>
        <w:t xml:space="preserve"> ( </w:t>
      </w:r>
      <w:r w:rsidR="00BE03AB">
        <w:rPr>
          <w:sz w:val="32"/>
          <w:szCs w:val="32"/>
        </w:rPr>
        <w:t xml:space="preserve">совместные праздники </w:t>
      </w:r>
      <w:proofErr w:type="gramStart"/>
      <w:r w:rsidR="00BE03AB">
        <w:rPr>
          <w:sz w:val="32"/>
          <w:szCs w:val="32"/>
        </w:rPr>
        <w:t>-п</w:t>
      </w:r>
      <w:proofErr w:type="gramEnd"/>
      <w:r w:rsidR="00BE03AB">
        <w:rPr>
          <w:sz w:val="32"/>
          <w:szCs w:val="32"/>
        </w:rPr>
        <w:t>раздник 1 сентября «Здравствуй, школа», развлечение «Правил дорожных на свете не мало», праздник «В гостях у азбуки», «</w:t>
      </w:r>
      <w:proofErr w:type="spellStart"/>
      <w:r w:rsidR="00BE03AB">
        <w:rPr>
          <w:sz w:val="32"/>
          <w:szCs w:val="32"/>
        </w:rPr>
        <w:t>Книжкина</w:t>
      </w:r>
      <w:proofErr w:type="spellEnd"/>
      <w:r w:rsidR="00BE03AB">
        <w:rPr>
          <w:sz w:val="32"/>
          <w:szCs w:val="32"/>
        </w:rPr>
        <w:t xml:space="preserve"> неделя»</w:t>
      </w:r>
      <w:r w:rsidR="007A3AD9">
        <w:rPr>
          <w:sz w:val="32"/>
          <w:szCs w:val="32"/>
        </w:rPr>
        <w:t xml:space="preserve">, «Посвящение в </w:t>
      </w:r>
      <w:r w:rsidR="007A3AD9">
        <w:rPr>
          <w:sz w:val="32"/>
          <w:szCs w:val="32"/>
        </w:rPr>
        <w:lastRenderedPageBreak/>
        <w:t>первоклассники»; экскурсии в школу, спортивные соревнования дошкольников и первоклассников, ролевые игры</w:t>
      </w:r>
    </w:p>
    <w:p w:rsidR="00BE03AB" w:rsidRPr="007A3AD9" w:rsidRDefault="005B4A53" w:rsidP="00B33F4C">
      <w:pPr>
        <w:pStyle w:val="a3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сотрудничество </w:t>
      </w:r>
      <w:r w:rsidR="00BE03AB">
        <w:rPr>
          <w:b/>
          <w:sz w:val="32"/>
          <w:szCs w:val="32"/>
        </w:rPr>
        <w:t xml:space="preserve"> с родителями </w:t>
      </w:r>
      <w:r w:rsidR="00BE03AB" w:rsidRPr="00BE03AB">
        <w:rPr>
          <w:sz w:val="32"/>
          <w:szCs w:val="32"/>
        </w:rPr>
        <w:t>(групповые родительские собрания с приглашением педагога</w:t>
      </w:r>
      <w:r w:rsidR="00BE03AB">
        <w:rPr>
          <w:sz w:val="32"/>
          <w:szCs w:val="32"/>
        </w:rPr>
        <w:t>-психолога, учителя-логопеда,</w:t>
      </w:r>
      <w:r w:rsidR="000F1748">
        <w:rPr>
          <w:sz w:val="32"/>
          <w:szCs w:val="32"/>
        </w:rPr>
        <w:t xml:space="preserve"> родительские собрания «задачи детского сада и семьи в подготовке детей к школе с позиции формирования УУД», «Поступление в школу – важное событие в жизни семьи», </w:t>
      </w:r>
      <w:r w:rsidR="00BE03AB">
        <w:rPr>
          <w:sz w:val="32"/>
          <w:szCs w:val="32"/>
        </w:rPr>
        <w:t xml:space="preserve"> мастер-класс «Как подготовить ребенка к школе», консультационный пункт для </w:t>
      </w:r>
      <w:proofErr w:type="gramStart"/>
      <w:r w:rsidR="00BE03AB">
        <w:rPr>
          <w:sz w:val="32"/>
          <w:szCs w:val="32"/>
        </w:rPr>
        <w:t>родителей</w:t>
      </w:r>
      <w:proofErr w:type="gramEnd"/>
      <w:r w:rsidR="00BE03AB">
        <w:rPr>
          <w:sz w:val="32"/>
          <w:szCs w:val="32"/>
        </w:rPr>
        <w:t xml:space="preserve"> будущих первоклассников, просвещение родителей через школьный сайт)</w:t>
      </w:r>
    </w:p>
    <w:p w:rsidR="007A3AD9" w:rsidRPr="00BE03AB" w:rsidRDefault="007A3AD9" w:rsidP="007A3AD9">
      <w:pPr>
        <w:pStyle w:val="a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Новые взгляды на воспитание, обучение и развитие детей требуют нового подхода к осуществлению преемственности детского сада и школы, построении новой модели выпускника, что позволит обеспечить непрерывность образовательного процесса.</w:t>
      </w:r>
    </w:p>
    <w:p w:rsidR="00BE03AB" w:rsidRPr="00607611" w:rsidRDefault="00BE03AB" w:rsidP="00BE03AB">
      <w:pPr>
        <w:pStyle w:val="a3"/>
        <w:ind w:left="144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07611" w:rsidRDefault="00607611" w:rsidP="00607611">
      <w:pPr>
        <w:pStyle w:val="a3"/>
        <w:ind w:left="1440"/>
        <w:jc w:val="both"/>
        <w:rPr>
          <w:sz w:val="32"/>
          <w:szCs w:val="32"/>
        </w:rPr>
      </w:pPr>
    </w:p>
    <w:p w:rsidR="00607611" w:rsidRDefault="00607611" w:rsidP="00607611">
      <w:pPr>
        <w:pStyle w:val="a3"/>
        <w:ind w:left="1440"/>
        <w:jc w:val="both"/>
        <w:rPr>
          <w:sz w:val="32"/>
          <w:szCs w:val="32"/>
        </w:rPr>
      </w:pPr>
    </w:p>
    <w:p w:rsidR="00B33F4C" w:rsidRPr="00B33F4C" w:rsidRDefault="00B33F4C" w:rsidP="00B33F4C">
      <w:pPr>
        <w:pStyle w:val="a3"/>
        <w:ind w:left="1440"/>
        <w:jc w:val="both"/>
        <w:rPr>
          <w:sz w:val="32"/>
          <w:szCs w:val="32"/>
        </w:rPr>
      </w:pPr>
    </w:p>
    <w:sectPr w:rsidR="00B33F4C" w:rsidRPr="00B33F4C" w:rsidSect="00DE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86"/>
    <w:multiLevelType w:val="hybridMultilevel"/>
    <w:tmpl w:val="FEE05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7723EC"/>
    <w:multiLevelType w:val="hybridMultilevel"/>
    <w:tmpl w:val="882A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13A95"/>
    <w:multiLevelType w:val="hybridMultilevel"/>
    <w:tmpl w:val="2728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84814"/>
    <w:multiLevelType w:val="hybridMultilevel"/>
    <w:tmpl w:val="C2609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5807"/>
    <w:rsid w:val="0002371C"/>
    <w:rsid w:val="0004034A"/>
    <w:rsid w:val="00092F62"/>
    <w:rsid w:val="000D6E60"/>
    <w:rsid w:val="000F1748"/>
    <w:rsid w:val="00237A01"/>
    <w:rsid w:val="002560B0"/>
    <w:rsid w:val="002F1B1D"/>
    <w:rsid w:val="003B7573"/>
    <w:rsid w:val="00551E91"/>
    <w:rsid w:val="00554C42"/>
    <w:rsid w:val="00590718"/>
    <w:rsid w:val="005B4A53"/>
    <w:rsid w:val="00607611"/>
    <w:rsid w:val="00697ACD"/>
    <w:rsid w:val="007A3AD9"/>
    <w:rsid w:val="007C5403"/>
    <w:rsid w:val="00842016"/>
    <w:rsid w:val="00AC1A44"/>
    <w:rsid w:val="00B33F4C"/>
    <w:rsid w:val="00BE03AB"/>
    <w:rsid w:val="00C52D9D"/>
    <w:rsid w:val="00D10FC7"/>
    <w:rsid w:val="00D77AC4"/>
    <w:rsid w:val="00DD2CAE"/>
    <w:rsid w:val="00DE7E43"/>
    <w:rsid w:val="00E27FAB"/>
    <w:rsid w:val="00EE766A"/>
    <w:rsid w:val="00F15807"/>
    <w:rsid w:val="00F2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807"/>
    <w:pPr>
      <w:spacing w:after="0" w:line="240" w:lineRule="auto"/>
    </w:pPr>
  </w:style>
  <w:style w:type="table" w:styleId="a4">
    <w:name w:val="Table Grid"/>
    <w:basedOn w:val="a1"/>
    <w:uiPriority w:val="59"/>
    <w:rsid w:val="00F23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4990-E1F0-4FF9-BF04-829038EB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2013-01-31T14:13:00Z</dcterms:created>
  <dcterms:modified xsi:type="dcterms:W3CDTF">2013-01-31T14:13:00Z</dcterms:modified>
</cp:coreProperties>
</file>