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29" w:rsidRDefault="00D53929" w:rsidP="00D53929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Применение в практике средств педагогической диагностики для оценки образовательных результатов.</w:t>
      </w:r>
    </w:p>
    <w:p w:rsidR="00D53929" w:rsidRDefault="00D53929" w:rsidP="00D53929">
      <w:pPr>
        <w:pStyle w:val="a3"/>
        <w:rPr>
          <w:b/>
          <w:bCs/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   «Что такое педагогическая диагностика? Нужна ли она?»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начало школьного обучения стало стартовой точкой нового этапа развития детей, оно должно быть основано на знании уровня готовности к обучению каждого будущего школьника. Педагогу важно знать о таких параметрах, как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предпосылок к овладению грамотой и математикой, того, что является основой усвоения этих предметов.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   Именно учитель должен осуществлять такую диагностику и использовать данные, собранные в процессе её проведения для осуществления индивидуально – дифференцированного подхода в обучении.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   В процессе обучения педагог должен обязательно учитывать различные уровни готовности своих учеников к систематическому овладению письменной речью и математикой. Не обеспечив детей с низким уровнем готовности к обучению необходимыми для успешного школьного старта условиями, главное из которых – специальная система заданий, мы неминуемо обрекаем этих детей на дальнейшую школьную неуспеваемость. 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   Можно выделить четыре основные группы показателей готовности к успешному овладению языковой и математической грамотой: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>а) соответствующий возрастной норме уровень общего развития;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>б) достаточная степень развития ряда неречевых функций;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>в) соответствующий возрасту уровень развития устной речи;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г) наличие у ребёнка интуитивных </w:t>
      </w:r>
      <w:proofErr w:type="spellStart"/>
      <w:r>
        <w:rPr>
          <w:sz w:val="28"/>
        </w:rPr>
        <w:t>дочисловых</w:t>
      </w:r>
      <w:proofErr w:type="spellEnd"/>
      <w:r>
        <w:rPr>
          <w:sz w:val="28"/>
        </w:rPr>
        <w:t xml:space="preserve"> представлений.</w:t>
      </w: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Организация педагогической диагностики.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Первый этап – групповое обследование, в ходе которого дети работают на предложенных им диагностических бланках. Второй этап – индивидуальное обследование, когда учитель непосредственно наблюдает за деятельностью одного ребёнка и сам записывает его устные ответы. 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>Предлагаемое экспресс – обследование включает следующие разделы: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обследование состояния пространственного восприятия;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выявление уровня зрительного восприятия;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проверка уровня овладения представлениями, лежащими в основе счёта, самим счётом (в пределах 6), представлениями об операциях сложения и вычитания;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выявление способа сравнения двух множеств по числу элементов;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выявление умения классифицировать и выделять признаки, по которым произведена классификация;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обследование фонематического слуха и восприятия;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обследование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предпосылок к успешному овладению звуковым анализом и синтезом;</w:t>
      </w:r>
    </w:p>
    <w:p w:rsidR="00D53929" w:rsidRDefault="00D53929" w:rsidP="00D53929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обследование состояния моторики и зрительно – моторных координаций.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lastRenderedPageBreak/>
        <w:t xml:space="preserve">   Педагогическую диагностику Вы проводите не только для того, чтобы выявить уровень развития у своих будущих учеников вышеперечисленных умений. Для Вас очень важно по результатам этой диагностики наметить предварительный план преодоления каждого обнаруженного в ходе обследования нарушения. Именно поэтому задания для индивидуальной диагностики включают в себя специальные виды помощи ребёнку и приёмы обучения отсутствующему умению.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    Это даёт возможность увидеть не только уровень, на котором находится ребёнок в настоящий момент, но, и это главное, «зону его ближайшего развития», т.е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о, что ребёнок может сделать с помощью взрослого. 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   В ходе обследования после выполнения каждого задания выставляется количественный балл в соответствии с предложенной системой оценок.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   Результатом фронтального и индивидуального обследования детей является заполнение бланка обследования. С помощью занесённых в него данных легко увидеть сильные и слабые стороны готовности каждого ребёнка. Такая диагностика имеет прогностическое значение, позволяет сделать близкий прогноз о дальнейшем ходе развития ребёнка, о тех </w:t>
      </w:r>
      <w:proofErr w:type="spellStart"/>
      <w:proofErr w:type="gram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 педагогических</w:t>
      </w:r>
      <w:proofErr w:type="gramEnd"/>
      <w:r>
        <w:rPr>
          <w:sz w:val="28"/>
        </w:rPr>
        <w:t xml:space="preserve"> средствах, которые необходимо применить.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   Конечно, первоначальные наблюдения послужат лишь началом открытия Вами «секретов» взаимоотношений с каждым школьником, они пополнятся последующими наблюдениями. Результаты диагностики помогут Вам в выборе стратегии и тактики обучения для каждого ребёнка, в проведении, в случае необходимости,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 развивающей работы.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rPr>
          <w:b/>
          <w:bCs/>
          <w:sz w:val="32"/>
        </w:rPr>
      </w:pPr>
      <w:proofErr w:type="spellStart"/>
      <w:r>
        <w:rPr>
          <w:b/>
          <w:bCs/>
          <w:sz w:val="32"/>
        </w:rPr>
        <w:lastRenderedPageBreak/>
        <w:t>Коррекционно</w:t>
      </w:r>
      <w:proofErr w:type="spellEnd"/>
      <w:r>
        <w:rPr>
          <w:b/>
          <w:bCs/>
          <w:sz w:val="32"/>
        </w:rPr>
        <w:t xml:space="preserve"> – развивающая работа.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На основании педагогической диагностики и некоторого периода обучения, учитель знает уровень готовности к овладению школьными знаниями, уровень </w:t>
      </w:r>
      <w:proofErr w:type="spellStart"/>
      <w:r>
        <w:rPr>
          <w:sz w:val="28"/>
        </w:rPr>
        <w:t>обучаемости</w:t>
      </w:r>
      <w:proofErr w:type="spellEnd"/>
      <w:r>
        <w:rPr>
          <w:sz w:val="28"/>
        </w:rPr>
        <w:t xml:space="preserve"> своих учеников. Вы уже выявили группу детей, которым необходимо с первых дней предложить задания повышенного уровня сложности, чтобы у них не пропал интерес к учёбе, чтобы по – </w:t>
      </w:r>
      <w:proofErr w:type="gramStart"/>
      <w:r>
        <w:rPr>
          <w:sz w:val="28"/>
        </w:rPr>
        <w:t>прежнему</w:t>
      </w:r>
      <w:proofErr w:type="gramEnd"/>
      <w:r>
        <w:rPr>
          <w:sz w:val="28"/>
        </w:rPr>
        <w:t xml:space="preserve"> все происходящее в школе было для них увлекательно, чтобы не появилась скука и тоска в их таких открытых и ясных глазах. Знаете вы и тех детей, которым нужно протянуть руку помощи.</w:t>
      </w:r>
    </w:p>
    <w:p w:rsidR="00D53929" w:rsidRDefault="00D53929" w:rsidP="00D53929">
      <w:pPr>
        <w:pStyle w:val="a3"/>
        <w:ind w:left="360"/>
        <w:rPr>
          <w:b/>
          <w:bCs/>
          <w:sz w:val="28"/>
        </w:rPr>
      </w:pPr>
      <w:r>
        <w:rPr>
          <w:b/>
          <w:bCs/>
          <w:sz w:val="28"/>
        </w:rPr>
        <w:t>Условия успешного осуществления</w:t>
      </w:r>
    </w:p>
    <w:p w:rsidR="00D53929" w:rsidRDefault="00D53929" w:rsidP="00D53929">
      <w:pPr>
        <w:pStyle w:val="a3"/>
        <w:ind w:left="36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коррекционно</w:t>
      </w:r>
      <w:proofErr w:type="spellEnd"/>
      <w:r>
        <w:rPr>
          <w:b/>
          <w:bCs/>
          <w:sz w:val="28"/>
        </w:rPr>
        <w:t xml:space="preserve"> – развивающей работы.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i/>
          <w:iCs/>
          <w:sz w:val="28"/>
        </w:rPr>
        <w:t>Безграничная вера в ребёнка.</w:t>
      </w:r>
      <w:r>
        <w:rPr>
          <w:sz w:val="28"/>
        </w:rPr>
        <w:t xml:space="preserve"> Каждый ребёнок может научиться всему.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Путь к достижению положительного результата может быть только путём «от успеха к успеху». Для ребёнка очень важно постоянно, на каждом уроке чувствовать свою успешность.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i/>
          <w:iCs/>
          <w:sz w:val="28"/>
        </w:rPr>
        <w:t>Создание доброжелательной атмосферы на уроках.</w:t>
      </w:r>
      <w:r>
        <w:rPr>
          <w:sz w:val="28"/>
        </w:rPr>
        <w:t xml:space="preserve"> Психологами доказано, что развитие может идти только на положительном эмоциональном фоне.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i/>
          <w:iCs/>
          <w:sz w:val="28"/>
        </w:rPr>
        <w:t>Темп продвижения каждого ученика определяется его индивидуальными возможностями.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i/>
          <w:iCs/>
          <w:sz w:val="28"/>
        </w:rPr>
        <w:t>Отказ от принципа «перехода количества дополнительных занятий в качество обучения»</w:t>
      </w:r>
      <w:proofErr w:type="gramStart"/>
      <w:r>
        <w:rPr>
          <w:i/>
          <w:iCs/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уть «качественного» подхода заключается в том, что учитель знает, в чём трудности и как они могут быть устранены самым эффективным способом.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Необходимо постоянно отслеживать продвижение каждого ученика, знать ту «точку», в которой он находится в данный момент, а также перспективы его развития.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В обучении необходимо опираться на «сильные» стороны в развитии ученика, выявленные в процессе диагностики.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Содержание учебного материала для проведения коррекционных занятий должно не только предупреждать трудности обучения, но и способствовать развитию учащихся.</w:t>
      </w:r>
    </w:p>
    <w:p w:rsidR="00D53929" w:rsidRDefault="00D53929" w:rsidP="00D53929">
      <w:pPr>
        <w:pStyle w:val="a3"/>
        <w:numPr>
          <w:ilvl w:val="0"/>
          <w:numId w:val="2"/>
        </w:numPr>
        <w:jc w:val="left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 развивающая работа должна осуществляться систематически и регулярно.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         </w:t>
      </w:r>
      <w:r>
        <w:rPr>
          <w:i/>
          <w:iCs/>
          <w:sz w:val="28"/>
        </w:rPr>
        <w:t>Первая группа</w:t>
      </w:r>
      <w:r>
        <w:rPr>
          <w:sz w:val="28"/>
        </w:rPr>
        <w:t xml:space="preserve"> – это дети с очень высоким уровнем готовности к обучению. Наиболее эффективный путь – углубление материала в рамках тех учебных материалов и действий, которые осваивают на уроках все дети. Большое количество такого материала включено в основной комплект. Этим детям можно дать для самостоятельного выполнения задания из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 развивающих тетрадей «Я учусь считать» и «Я учусь писать и читать» задолго до того, как этот материал будет предложен остальным детям. Тем самым снимается и существенный психологический барьер – работа в этих тетрадях воспринимается как награда, а не как наказание для «слабых» детей.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i/>
          <w:iCs/>
          <w:sz w:val="28"/>
        </w:rPr>
        <w:lastRenderedPageBreak/>
        <w:t xml:space="preserve">Вторая группа </w:t>
      </w:r>
      <w:r>
        <w:rPr>
          <w:sz w:val="28"/>
        </w:rPr>
        <w:t>– дети с низким уровнем готовности к обучению.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>Особенности обучения этих детей можно разбить на две большие группы: в первую входят способы организации деятельности детей, во вторую – особые приёмы обучения, используемые учителем, разработка новых типов заданий, обусловленных спецификой развития этих детей.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</w:p>
    <w:p w:rsidR="00D53929" w:rsidRDefault="00D53929" w:rsidP="00D53929">
      <w:pPr>
        <w:pStyle w:val="a3"/>
        <w:ind w:left="360"/>
        <w:jc w:val="left"/>
        <w:rPr>
          <w:b/>
          <w:bCs/>
          <w:sz w:val="28"/>
        </w:rPr>
      </w:pPr>
      <w:r>
        <w:rPr>
          <w:b/>
          <w:bCs/>
          <w:sz w:val="28"/>
        </w:rPr>
        <w:t>Способы и формы организации деятельности детей с низким уровнем готовности к овладению грамотой и математикой.</w:t>
      </w:r>
    </w:p>
    <w:p w:rsidR="00D53929" w:rsidRDefault="00D53929" w:rsidP="00D5392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Необходимо внести изменения в структуру урока и в соотношение фронтальной, групповой и самостоятельной работы.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>Можно выделить несколько принципов организации таких групп. Первый – по профилю трудностей. Второй – принцип организации групп связан со степенью успешности овладения программным материалом, отрабатываемым на определённом этапе обучения.</w:t>
      </w:r>
    </w:p>
    <w:p w:rsidR="00D53929" w:rsidRDefault="00D53929" w:rsidP="00D5392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Требуется </w:t>
      </w:r>
      <w:proofErr w:type="gramStart"/>
      <w:r>
        <w:rPr>
          <w:sz w:val="28"/>
        </w:rPr>
        <w:t>время</w:t>
      </w:r>
      <w:proofErr w:type="gramEnd"/>
      <w:r>
        <w:rPr>
          <w:sz w:val="28"/>
        </w:rPr>
        <w:t xml:space="preserve"> как для устранения выявленных пробелов, так и для отработки задач каждого нового этапа обучения.</w:t>
      </w:r>
    </w:p>
    <w:p w:rsidR="00D53929" w:rsidRDefault="00D53929" w:rsidP="00D5392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Очень важно увеличить количество упражнений для успешной автоматизации навыка.</w:t>
      </w:r>
    </w:p>
    <w:p w:rsidR="00D53929" w:rsidRDefault="00D53929" w:rsidP="00D5392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Предлагаемые в тетрадях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 xml:space="preserve"> – тренировочные</w:t>
      </w:r>
      <w:proofErr w:type="gramEnd"/>
      <w:r>
        <w:rPr>
          <w:sz w:val="28"/>
        </w:rPr>
        <w:t xml:space="preserve"> упражнения нацелены на активизацию трёх ведущих форм восприятия: зрительного, слухового, двигательного.</w:t>
      </w:r>
    </w:p>
    <w:p w:rsidR="00D53929" w:rsidRDefault="00D53929" w:rsidP="00D53929">
      <w:pPr>
        <w:pStyle w:val="a3"/>
        <w:ind w:left="360"/>
        <w:jc w:val="left"/>
        <w:rPr>
          <w:sz w:val="28"/>
        </w:rPr>
      </w:pPr>
      <w:r>
        <w:rPr>
          <w:sz w:val="28"/>
        </w:rPr>
        <w:t xml:space="preserve">   </w:t>
      </w:r>
    </w:p>
    <w:p w:rsidR="00D53929" w:rsidRDefault="00D53929" w:rsidP="00D53929">
      <w:pPr>
        <w:pStyle w:val="a3"/>
        <w:jc w:val="left"/>
        <w:rPr>
          <w:sz w:val="28"/>
        </w:rPr>
      </w:pPr>
      <w:r>
        <w:rPr>
          <w:sz w:val="28"/>
        </w:rPr>
        <w:t xml:space="preserve">   </w:t>
      </w: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D53929" w:rsidRDefault="00D53929" w:rsidP="00D53929">
      <w:pPr>
        <w:pStyle w:val="a3"/>
        <w:jc w:val="left"/>
        <w:rPr>
          <w:sz w:val="28"/>
        </w:rPr>
      </w:pPr>
    </w:p>
    <w:p w:rsidR="00C85CB9" w:rsidRDefault="00C85CB9"/>
    <w:sectPr w:rsidR="00C85CB9" w:rsidSect="00C8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1A4"/>
    <w:multiLevelType w:val="hybridMultilevel"/>
    <w:tmpl w:val="E6BC3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A3FC5"/>
    <w:multiLevelType w:val="hybridMultilevel"/>
    <w:tmpl w:val="38F4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71111"/>
    <w:multiLevelType w:val="hybridMultilevel"/>
    <w:tmpl w:val="FEBAB304"/>
    <w:lvl w:ilvl="0" w:tplc="FE2C8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53929"/>
    <w:rsid w:val="00C85CB9"/>
    <w:rsid w:val="00D5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53929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53929"/>
    <w:rPr>
      <w:rFonts w:ascii="Times New Roman" w:eastAsia="Times New Roman" w:hAnsi="Times New Roman" w:cs="Times New Roman"/>
      <w:sz w:val="5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6440</Characters>
  <Application>Microsoft Office Word</Application>
  <DocSecurity>0</DocSecurity>
  <Lines>53</Lines>
  <Paragraphs>15</Paragraphs>
  <ScaleCrop>false</ScaleCrop>
  <Company>Grizli777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2013-04-08T18:53:00Z</dcterms:created>
  <dcterms:modified xsi:type="dcterms:W3CDTF">2013-04-08T18:53:00Z</dcterms:modified>
</cp:coreProperties>
</file>