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0B" w:rsidRDefault="0069150B" w:rsidP="0069150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ЛИЧНОСТНО-ОРИНТИРОВАННОЕ ОБУЧЕНИЕ, КАК СРЕДСТВО ФОРМИРОВАНИЯ УЧЕБНО-ПОЗНАВАТЕЛЬНОЙ КОМПЕТЕНЦИИ НА УРОКАХ РУССКОГО ЯЗЫКА В НАЧАЛЬНОЙ ШКОЛЕ</w:t>
      </w:r>
    </w:p>
    <w:p w:rsidR="00023994" w:rsidRDefault="0069150B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</w:t>
      </w:r>
      <w:r w:rsidRPr="002C5EA0">
        <w:rPr>
          <w:rFonts w:ascii="Times New Roman CYR" w:hAnsi="Times New Roman CYR" w:cs="Times New Roman CYR"/>
          <w:b/>
          <w:sz w:val="28"/>
          <w:szCs w:val="28"/>
        </w:rPr>
        <w:t>личностно-ориентированным подходом</w:t>
      </w:r>
      <w:r>
        <w:rPr>
          <w:rFonts w:ascii="Times New Roman CYR" w:hAnsi="Times New Roman CYR" w:cs="Times New Roman CYR"/>
          <w:sz w:val="28"/>
          <w:szCs w:val="28"/>
        </w:rPr>
        <w:t xml:space="preserve"> принято понимать методологическую ориентацию в педагогической деятельности, позволяющую посредством опоры на систему взаимосвязанных понятий, идей и способов действий обеспечивать и поддерживать процессы самопознания,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самостроительства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самореализации личности ребенка, развития его неповторимой индивидуальности. </w:t>
      </w:r>
    </w:p>
    <w:p w:rsidR="0069150B" w:rsidRDefault="0069150B" w:rsidP="0069150B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следующие принципы личностно-ориентированного подхода:</w:t>
      </w:r>
    </w:p>
    <w:p w:rsidR="0069150B" w:rsidRDefault="0069150B" w:rsidP="0069150B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самоактуализация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69150B" w:rsidRDefault="0069150B" w:rsidP="0069150B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индивидуальность;</w:t>
      </w:r>
    </w:p>
    <w:p w:rsidR="0069150B" w:rsidRDefault="0069150B" w:rsidP="0069150B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субъективность;</w:t>
      </w:r>
    </w:p>
    <w:p w:rsidR="0069150B" w:rsidRDefault="0069150B" w:rsidP="0069150B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выбор;</w:t>
      </w:r>
    </w:p>
    <w:p w:rsidR="0069150B" w:rsidRDefault="0069150B" w:rsidP="0069150B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творчество и успех.</w:t>
      </w:r>
    </w:p>
    <w:p w:rsidR="0069150B" w:rsidRDefault="0069150B" w:rsidP="0069150B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 приемы, соответствующие таким требованиям, как:</w:t>
      </w:r>
    </w:p>
    <w:p w:rsidR="0069150B" w:rsidRDefault="0069150B" w:rsidP="0069150B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диалогичность;</w:t>
      </w:r>
    </w:p>
    <w:p w:rsidR="0069150B" w:rsidRDefault="0069150B" w:rsidP="0069150B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деятельностно-творческий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характер;</w:t>
      </w:r>
    </w:p>
    <w:p w:rsidR="0069150B" w:rsidRDefault="0069150B" w:rsidP="0069150B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направленность на поддержку индивидуального развития ребенка;</w:t>
      </w:r>
    </w:p>
    <w:p w:rsidR="0069150B" w:rsidRPr="002D77AE" w:rsidRDefault="0069150B" w:rsidP="0069150B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предоставление учащемуся необходимого пространства, свободы для принятия самостоятельных решений, творчества, выбора содержания и способов учения и поведения.</w:t>
      </w:r>
    </w:p>
    <w:p w:rsidR="0069150B" w:rsidRDefault="0069150B" w:rsidP="0069150B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Исходя из теоретического определения, составляющих методов и приемов, принципов и подходов, личностно-ориентированное обучение является одним из лучших средств по формированию учебно-познавательной компетенции. </w:t>
      </w:r>
    </w:p>
    <w:p w:rsidR="00875BDD" w:rsidRDefault="0069150B" w:rsidP="0069150B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2C5EA0">
        <w:rPr>
          <w:rFonts w:ascii="Times New Roman CYR" w:hAnsi="Times New Roman CYR" w:cs="Times New Roman CYR"/>
          <w:b/>
          <w:sz w:val="28"/>
          <w:szCs w:val="28"/>
        </w:rPr>
        <w:t>Учебно-познавательная компетенция</w:t>
      </w:r>
      <w:r>
        <w:rPr>
          <w:rFonts w:ascii="Times New Roman CYR" w:hAnsi="Times New Roman CYR" w:cs="Times New Roman CYR"/>
          <w:sz w:val="28"/>
          <w:szCs w:val="28"/>
        </w:rPr>
        <w:t xml:space="preserve"> – это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общеучебной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деятельности, соотнесенной с реальными познаваемыми объектами. Сюда входят знания и умения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целеполагания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планирования, анализа, рефлексии, самооценки учебно-познавательной деятельности. Ученик овладевает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креативными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навыками продуктивной деятельности: добыванием знаний непосредственно из реальности, владением приемами действий в нестандартных ситуациях, эвристическими методами решения проблем. </w:t>
      </w:r>
      <w:r w:rsidR="00875BD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9150B" w:rsidRDefault="0069150B" w:rsidP="0069150B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году я начала работу в первом классе. Помочь ребенку в сложном труде учения и становления личности можно, только хорошо зная его возможности и способности, особенности его характера, состояния здоровья, его радости и огорчения.</w:t>
      </w:r>
    </w:p>
    <w:p w:rsidR="0069150B" w:rsidRPr="00973128" w:rsidRDefault="0069150B" w:rsidP="0069150B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Набирая 1-ый класс, я познакомилась с результатами медицинского осмотра каждого ребенка, с родителями, домашней обстановкой будущих учеников. В начале учебного года совместно была проведена входная диагностика  готовности учащихся к школе </w:t>
      </w:r>
    </w:p>
    <w:p w:rsidR="00C35E8F" w:rsidRDefault="00C35E8F" w:rsidP="0069150B">
      <w:pPr>
        <w:widowControl w:val="0"/>
        <w:autoSpaceDE w:val="0"/>
        <w:autoSpaceDN w:val="0"/>
        <w:adjustRightInd w:val="0"/>
        <w:rPr>
          <w:noProof/>
        </w:rPr>
      </w:pPr>
    </w:p>
    <w:p w:rsidR="0069150B" w:rsidRDefault="00B7527F" w:rsidP="0069150B">
      <w:pPr>
        <w:widowControl w:val="0"/>
        <w:autoSpaceDE w:val="0"/>
        <w:autoSpaceDN w:val="0"/>
        <w:adjustRightInd w:val="0"/>
        <w:rPr>
          <w:noProof/>
        </w:rPr>
      </w:pPr>
      <w:r w:rsidRPr="00B7527F">
        <w:rPr>
          <w:noProof/>
        </w:rPr>
        <w:drawing>
          <wp:inline distT="0" distB="0" distL="0" distR="0">
            <wp:extent cx="4829175" cy="2962275"/>
            <wp:effectExtent l="19050" t="0" r="95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B7527F">
        <w:rPr>
          <w:noProof/>
        </w:rPr>
        <w:t xml:space="preserve"> </w:t>
      </w:r>
    </w:p>
    <w:p w:rsidR="00C35E8F" w:rsidRDefault="00C35E8F" w:rsidP="0069150B">
      <w:pPr>
        <w:widowControl w:val="0"/>
        <w:autoSpaceDE w:val="0"/>
        <w:autoSpaceDN w:val="0"/>
        <w:adjustRightInd w:val="0"/>
        <w:rPr>
          <w:noProof/>
        </w:rPr>
      </w:pPr>
    </w:p>
    <w:p w:rsidR="00C35E8F" w:rsidRDefault="00C35E8F" w:rsidP="006915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69150B" w:rsidRDefault="0069150B" w:rsidP="006915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Ее результаты показали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</w:p>
    <w:p w:rsidR="0069150B" w:rsidRDefault="00B7527F" w:rsidP="0069150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>готовы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 xml:space="preserve"> к обучению 16 человек (62</w:t>
      </w:r>
      <w:r w:rsidR="0069150B" w:rsidRPr="005754F3">
        <w:rPr>
          <w:rFonts w:ascii="Times New Roman CYR" w:hAnsi="Times New Roman CYR" w:cs="Times New Roman CYR"/>
          <w:b/>
          <w:sz w:val="28"/>
          <w:szCs w:val="28"/>
        </w:rPr>
        <w:t>%)</w:t>
      </w:r>
    </w:p>
    <w:p w:rsidR="0069150B" w:rsidRDefault="00B7527F" w:rsidP="0069150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>готовы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 xml:space="preserve"> на среднем уровне 6 человек (23</w:t>
      </w:r>
      <w:r w:rsidR="0069150B">
        <w:rPr>
          <w:rFonts w:ascii="Times New Roman CYR" w:hAnsi="Times New Roman CYR" w:cs="Times New Roman CYR"/>
          <w:b/>
          <w:sz w:val="28"/>
          <w:szCs w:val="28"/>
        </w:rPr>
        <w:t>%)</w:t>
      </w:r>
    </w:p>
    <w:p w:rsidR="0069150B" w:rsidRDefault="0069150B" w:rsidP="0069150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>готовы</w:t>
      </w:r>
      <w:proofErr w:type="gramEnd"/>
      <w:r w:rsidR="00B7527F">
        <w:rPr>
          <w:rFonts w:ascii="Times New Roman CYR" w:hAnsi="Times New Roman CYR" w:cs="Times New Roman CYR"/>
          <w:b/>
          <w:sz w:val="28"/>
          <w:szCs w:val="28"/>
        </w:rPr>
        <w:t xml:space="preserve"> на низком уровне 4 человека (15</w:t>
      </w:r>
      <w:r>
        <w:rPr>
          <w:rFonts w:ascii="Times New Roman CYR" w:hAnsi="Times New Roman CYR" w:cs="Times New Roman CYR"/>
          <w:b/>
          <w:sz w:val="28"/>
          <w:szCs w:val="28"/>
        </w:rPr>
        <w:t>%)</w:t>
      </w:r>
    </w:p>
    <w:p w:rsidR="0069150B" w:rsidRPr="00973128" w:rsidRDefault="0069150B" w:rsidP="006915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также был</w:t>
      </w:r>
      <w:r w:rsidR="00875BDD">
        <w:rPr>
          <w:rFonts w:ascii="Times New Roman CYR" w:hAnsi="Times New Roman CYR" w:cs="Times New Roman CYR"/>
          <w:sz w:val="28"/>
          <w:szCs w:val="28"/>
        </w:rPr>
        <w:t>а проведена диагностика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сформированности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 детей учебно-познавательной деятельности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самоконтроль, планирование, самоорганизацию, элементы логической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общеучебной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деятельности).</w:t>
      </w:r>
    </w:p>
    <w:p w:rsidR="0069150B" w:rsidRDefault="00B7527F" w:rsidP="006915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  <w:r w:rsidRPr="00B7527F">
        <w:rPr>
          <w:noProof/>
        </w:rPr>
        <w:t xml:space="preserve"> </w:t>
      </w:r>
      <w:r w:rsidRPr="00B7527F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>
            <wp:extent cx="5076825" cy="3067685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9150B" w:rsidRDefault="0069150B" w:rsidP="006915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 результатам обследования выделены следующие группы:</w:t>
      </w:r>
    </w:p>
    <w:p w:rsidR="0069150B" w:rsidRDefault="0069150B" w:rsidP="0069150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A30FBA">
        <w:rPr>
          <w:rFonts w:ascii="Times New Roman CYR" w:hAnsi="Times New Roman CYR" w:cs="Times New Roman CYR"/>
          <w:b/>
          <w:sz w:val="28"/>
          <w:szCs w:val="28"/>
          <w:u w:val="single"/>
        </w:rPr>
        <w:t>1 группа – высокая возрастная норма</w:t>
      </w:r>
      <w:r w:rsidR="00B7527F">
        <w:rPr>
          <w:rFonts w:ascii="Times New Roman CYR" w:hAnsi="Times New Roman CYR" w:cs="Times New Roman CYR"/>
          <w:b/>
          <w:sz w:val="28"/>
          <w:szCs w:val="28"/>
          <w:u w:val="single"/>
        </w:rPr>
        <w:t>: 6 человек (23</w:t>
      </w:r>
      <w:r>
        <w:rPr>
          <w:rFonts w:ascii="Times New Roman CYR" w:hAnsi="Times New Roman CYR" w:cs="Times New Roman CYR"/>
          <w:b/>
          <w:sz w:val="28"/>
          <w:szCs w:val="28"/>
          <w:u w:val="single"/>
        </w:rPr>
        <w:t>%)</w:t>
      </w:r>
    </w:p>
    <w:p w:rsidR="0069150B" w:rsidRPr="006125A7" w:rsidRDefault="0069150B" w:rsidP="006915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дети с высокой психофизической зрелостью. Для них характерны сформированные навыки самоконтроля и планирования, самоорганизации в произвольных видах деятельности, гибко владеют образами-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представлениями об окружающем мире. Для них является доступным уровень работы, как по образцу, так и по речевой инструкции. Обладают достаточно высоким темпом психической деятельности. Они интересуются содержательной стороной обучения и нацелены на достижение успеха в учебной деятельности. При этом уровень готовности к школе – высокий.</w:t>
      </w:r>
    </w:p>
    <w:p w:rsidR="0069150B" w:rsidRDefault="0069150B" w:rsidP="0069150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sz w:val="28"/>
          <w:szCs w:val="28"/>
          <w:u w:val="single"/>
        </w:rPr>
        <w:t>2 группа – ста</w:t>
      </w:r>
      <w:r w:rsidR="00B7527F">
        <w:rPr>
          <w:rFonts w:ascii="Times New Roman CYR" w:hAnsi="Times New Roman CYR" w:cs="Times New Roman CYR"/>
          <w:b/>
          <w:sz w:val="28"/>
          <w:szCs w:val="28"/>
          <w:u w:val="single"/>
        </w:rPr>
        <w:t>бильная середина: 12 человек (46</w:t>
      </w:r>
      <w:r>
        <w:rPr>
          <w:rFonts w:ascii="Times New Roman CYR" w:hAnsi="Times New Roman CYR" w:cs="Times New Roman CYR"/>
          <w:b/>
          <w:sz w:val="28"/>
          <w:szCs w:val="28"/>
          <w:u w:val="single"/>
        </w:rPr>
        <w:t>%)</w:t>
      </w:r>
    </w:p>
    <w:p w:rsidR="0069150B" w:rsidRPr="00F53DE7" w:rsidRDefault="0069150B" w:rsidP="006915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них характерны формирующиеся навыки контроля и самоконтроля, стабильная работоспособность. Эти дети хорошо сотрудничают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взрослыми и сверстниками. Произвольная организация деятельности проявляется при выполнении ими заданий, которые им интересны или внушают уверенность в успешности выполнения. Часто допускают ошибки, вызванные недостатками их произвольного внимания и отвлекаемостью.</w:t>
      </w:r>
    </w:p>
    <w:p w:rsidR="0069150B" w:rsidRDefault="0069150B" w:rsidP="0069150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sz w:val="28"/>
          <w:szCs w:val="28"/>
          <w:u w:val="single"/>
        </w:rPr>
        <w:t>3 группа – «группа риска»: 7 человек (30%)</w:t>
      </w:r>
    </w:p>
    <w:p w:rsidR="0069150B" w:rsidRDefault="0069150B" w:rsidP="006915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данных детей наблюдается частичное соскальзывание с предложенной инструкции. Отсутствует навык произвольного контроля над собственной деятельностью. То, что ребенок выполнил, он сделал некачественно. Они затрудняются проанализировать образец. Характерно неравномерное развитие психических функций. Нет мотивации к учению.</w:t>
      </w:r>
    </w:p>
    <w:p w:rsidR="0069150B" w:rsidRDefault="0069150B" w:rsidP="006915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данных диагностик были даны рекомендации, в которых основное внимание было акцентировано на развит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ии у 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чащихся самостоятельной познавательной деятельности (сюда вошли знания и умения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целеполагания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планирования, анализ, рефлексия, самооценка учебно-познавательной деятельности).</w:t>
      </w:r>
    </w:p>
    <w:p w:rsidR="0069150B" w:rsidRDefault="0069150B" w:rsidP="006915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пункты, в общем, составляют формирование учебно-познавательной компетенции. А поскольку не малое место в учебной программе 1 класса составляют уроки обучения грамоте, то формирование учебно-познавательной компетенции, я решила осуществлять на уроках русского языка, через технологию личностно-ориентированного обучения. Целью этого обучения является создание условий для формирования познавательной активности учеников.</w:t>
      </w:r>
    </w:p>
    <w:p w:rsidR="0069150B" w:rsidRDefault="0069150B" w:rsidP="006915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Переработав большое количество литературы с заданиями на формирование учебно-познавательных интересов, я сделала подборку упражнений для первого класса, которые можно использовать на уроках обучения грамоте.</w:t>
      </w:r>
    </w:p>
    <w:p w:rsidR="0069150B" w:rsidRDefault="0069150B" w:rsidP="006915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Приведу примеры некоторых из них.</w:t>
      </w:r>
    </w:p>
    <w:p w:rsidR="0069150B" w:rsidRPr="00606BFE" w:rsidRDefault="0069150B" w:rsidP="0069150B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  <w:r w:rsidRPr="00606BFE">
        <w:rPr>
          <w:rFonts w:ascii="Times New Roman CYR" w:hAnsi="Times New Roman CYR" w:cs="Times New Roman CYR"/>
          <w:sz w:val="28"/>
          <w:szCs w:val="28"/>
          <w:u w:val="single"/>
        </w:rPr>
        <w:t>Упражнения словесно-логического характера.</w:t>
      </w:r>
    </w:p>
    <w:p w:rsidR="0069150B" w:rsidRDefault="0069150B" w:rsidP="006915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этих упр. Развивается логика детей, оперативная память, связная доказательная речь, сосредоточенность внимания. Они представляют собой специально составленный текст, соответствующий изученной теме. Этот те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кст сл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ужит основой для проведения урока. С опорой на его содержание могут проводиться все последующие структурные этапы урока: минутка чистописания, словарная работа, повторение, закрепление изученного материала. Учащиеся воспринимают текст на слух. Первоначально это тексты небольшие по объему.</w:t>
      </w:r>
    </w:p>
    <w:p w:rsidR="0069150B" w:rsidRDefault="0069150B" w:rsidP="006915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Н-р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i/>
          <w:sz w:val="28"/>
          <w:szCs w:val="28"/>
        </w:rPr>
        <w:t>Волк и заяц сделали норы под корнями сосны и ели. Заячья норка не под елью.</w:t>
      </w:r>
    </w:p>
    <w:p w:rsidR="0069150B" w:rsidRDefault="0069150B" w:rsidP="006915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Определите, в каком месте каждый зверь устроил себе жилище?</w:t>
      </w:r>
    </w:p>
    <w:p w:rsidR="0069150B" w:rsidRPr="00002513" w:rsidRDefault="0069150B" w:rsidP="006915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Букву, с которой будем работать на минутке чистописания, вы найдете в одном из слов логического упражнения. Это слово-название животного. В нем один слог. Буква, которую будем писать, в этом слове обозначает глухой парный твердый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согл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звук.</w:t>
      </w:r>
    </w:p>
    <w:p w:rsidR="0069150B" w:rsidRPr="00606BFE" w:rsidRDefault="0069150B" w:rsidP="0069150B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  <w:r w:rsidRPr="00606BFE">
        <w:rPr>
          <w:rFonts w:ascii="Times New Roman CYR" w:hAnsi="Times New Roman CYR" w:cs="Times New Roman CYR"/>
          <w:sz w:val="28"/>
          <w:szCs w:val="28"/>
          <w:u w:val="single"/>
        </w:rPr>
        <w:t>Упражнения на развитие мышления, умения делать умозаключения по аналогии.</w:t>
      </w:r>
    </w:p>
    <w:p w:rsidR="0069150B" w:rsidRPr="00002513" w:rsidRDefault="0069150B" w:rsidP="006915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 w:rsidRPr="00FF1229">
        <w:rPr>
          <w:rFonts w:ascii="Times New Roman CYR" w:hAnsi="Times New Roman CYR" w:cs="Times New Roman CYR"/>
          <w:i/>
          <w:sz w:val="28"/>
          <w:szCs w:val="28"/>
        </w:rPr>
        <w:t>Береза-дерево, фиалк</w:t>
      </w:r>
      <w:proofErr w:type="gramStart"/>
      <w:r w:rsidRPr="00FF1229">
        <w:rPr>
          <w:rFonts w:ascii="Times New Roman CYR" w:hAnsi="Times New Roman CYR" w:cs="Times New Roman CYR"/>
          <w:i/>
          <w:sz w:val="28"/>
          <w:szCs w:val="28"/>
        </w:rPr>
        <w:t>а-</w:t>
      </w:r>
      <w:proofErr w:type="gramEnd"/>
      <w:r w:rsidRPr="00FF1229">
        <w:rPr>
          <w:rFonts w:ascii="Times New Roman CYR" w:hAnsi="Times New Roman CYR" w:cs="Times New Roman CYR"/>
          <w:i/>
          <w:sz w:val="28"/>
          <w:szCs w:val="28"/>
        </w:rPr>
        <w:t>…; лещ-рыба, пчела-… и т.п.</w:t>
      </w:r>
    </w:p>
    <w:p w:rsidR="0069150B" w:rsidRPr="00606BFE" w:rsidRDefault="0069150B" w:rsidP="0069150B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  <w:r w:rsidRPr="00606BFE">
        <w:rPr>
          <w:rFonts w:ascii="Times New Roman CYR" w:hAnsi="Times New Roman CYR" w:cs="Times New Roman CYR"/>
          <w:sz w:val="28"/>
          <w:szCs w:val="28"/>
          <w:u w:val="single"/>
        </w:rPr>
        <w:t>Упражнения творческого характера.</w:t>
      </w:r>
    </w:p>
    <w:p w:rsidR="0069150B" w:rsidRDefault="0069150B" w:rsidP="006915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опорным словам или сюжетным картинкам составить рассказ.</w:t>
      </w:r>
    </w:p>
    <w:p w:rsidR="0069150B" w:rsidRDefault="0069150B" w:rsidP="006915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предлагаемом слове любую букву заменить буквой </w:t>
      </w:r>
      <w:proofErr w:type="spellStart"/>
      <w:r w:rsidRPr="00872E20">
        <w:rPr>
          <w:rFonts w:ascii="Times New Roman CYR" w:hAnsi="Times New Roman CYR" w:cs="Times New Roman CYR"/>
          <w:i/>
          <w:sz w:val="28"/>
          <w:szCs w:val="28"/>
        </w:rPr>
        <w:t>ш</w:t>
      </w:r>
      <w:proofErr w:type="spellEnd"/>
      <w:r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так, чтобы получилось новое слово: 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крыса-крыша, пар-шар, малина-машина, </w:t>
      </w:r>
      <w:proofErr w:type="spellStart"/>
      <w:proofErr w:type="gramStart"/>
      <w:r>
        <w:rPr>
          <w:rFonts w:ascii="Times New Roman CYR" w:hAnsi="Times New Roman CYR" w:cs="Times New Roman CYR"/>
          <w:i/>
          <w:sz w:val="28"/>
          <w:szCs w:val="28"/>
        </w:rPr>
        <w:t>месть-шесть</w:t>
      </w:r>
      <w:proofErr w:type="spellEnd"/>
      <w:proofErr w:type="gramEnd"/>
      <w:r>
        <w:rPr>
          <w:rFonts w:ascii="Times New Roman CYR" w:hAnsi="Times New Roman CYR" w:cs="Times New Roman CYR"/>
          <w:i/>
          <w:sz w:val="28"/>
          <w:szCs w:val="28"/>
        </w:rPr>
        <w:t>.</w:t>
      </w:r>
    </w:p>
    <w:p w:rsidR="0069150B" w:rsidRDefault="0069150B" w:rsidP="0069150B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Дидактическая игра.</w:t>
      </w:r>
    </w:p>
    <w:p w:rsidR="0069150B" w:rsidRDefault="0069150B" w:rsidP="006915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Большое влияние на развитие познавательной деятельности учащихся оказывает дидактическая игра. В результате систематического ее использования у детей развиваются подвижность и гибкость ума, формируются такие качества мышления, как сравнение, анализ, умозаключение и т.д.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игры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построенные на материале различной степени трудности, дают возможность осуществлять дифференцированный подход к обучению детей с разным уровнем знаний. («Буква заблудилась», «Живые слова», «Тим-Том» и т.п.)</w:t>
      </w:r>
    </w:p>
    <w:p w:rsidR="0069150B" w:rsidRDefault="0069150B" w:rsidP="006915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Эта лишь небольшой пример того, что можно использовать на уроках русского языка в первом классе.</w:t>
      </w:r>
      <w:r w:rsidR="00C35E8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ак как работу по данной теме я начала в этом учебном году, то в перспективе на будущее я планирую продолжить изучение теоретиче</w:t>
      </w:r>
      <w:r w:rsidR="009036D1">
        <w:rPr>
          <w:rFonts w:ascii="Times New Roman CYR" w:hAnsi="Times New Roman CYR" w:cs="Times New Roman CYR"/>
          <w:sz w:val="28"/>
          <w:szCs w:val="28"/>
        </w:rPr>
        <w:t>ского материала по данной теме.</w:t>
      </w:r>
    </w:p>
    <w:p w:rsidR="0069150B" w:rsidRDefault="0069150B"/>
    <w:sectPr w:rsidR="0069150B" w:rsidSect="0002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F1EC0"/>
    <w:multiLevelType w:val="hybridMultilevel"/>
    <w:tmpl w:val="E2325244"/>
    <w:lvl w:ilvl="0" w:tplc="8E9A2D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D7674D"/>
    <w:multiLevelType w:val="hybridMultilevel"/>
    <w:tmpl w:val="7BBE8C9C"/>
    <w:lvl w:ilvl="0" w:tplc="8E9A2D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7F62BF"/>
    <w:multiLevelType w:val="hybridMultilevel"/>
    <w:tmpl w:val="C196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50B"/>
    <w:rsid w:val="00023994"/>
    <w:rsid w:val="000D4FF7"/>
    <w:rsid w:val="001936F5"/>
    <w:rsid w:val="00465A9C"/>
    <w:rsid w:val="004E6CF3"/>
    <w:rsid w:val="005872EF"/>
    <w:rsid w:val="0069150B"/>
    <w:rsid w:val="00875BDD"/>
    <w:rsid w:val="008A4270"/>
    <w:rsid w:val="009036D1"/>
    <w:rsid w:val="00B7527F"/>
    <w:rsid w:val="00C35E8F"/>
    <w:rsid w:val="00D3214C"/>
    <w:rsid w:val="00E21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0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5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5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/>
              <a:t>Готовность к школе 1 Б класса     2009-2010 уч. год</a:t>
            </a:r>
          </a:p>
        </c:rich>
      </c:tx>
    </c:title>
    <c:view3D>
      <c:rotX val="75"/>
      <c:perspective val="30"/>
    </c:view3D>
    <c:plotArea>
      <c:layout>
        <c:manualLayout>
          <c:layoutTarget val="inner"/>
          <c:xMode val="edge"/>
          <c:yMode val="edge"/>
          <c:x val="0.19129809735835401"/>
          <c:y val="0.32243369375722353"/>
          <c:w val="0.31874537596215796"/>
          <c:h val="0.5795316815537403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Готовность к школе 1 Б класса     2009-2010 уч. год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4621714776299713"/>
                  <c:y val="-5.1879186989481095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Готовы к обучению
62%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0.12935926301569334"/>
                  <c:y val="-6.9272026992615345E-3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Готовы на ср. уровне
23%</a:t>
                    </a:r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0.11453406111515593"/>
                  <c:y val="0.20360001518089754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Готовы на низ. Уровне
15%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</c:dLbls>
          <c:cat>
            <c:strRef>
              <c:f>Лист1!$A$2:$A$5</c:f>
              <c:strCache>
                <c:ptCount val="3"/>
                <c:pt idx="0">
                  <c:v>Готовы к обучению</c:v>
                </c:pt>
                <c:pt idx="1">
                  <c:v>Готовы на ср. уровне</c:v>
                </c:pt>
                <c:pt idx="2">
                  <c:v>Готовы на низ. Уровне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6</c:v>
                </c:pt>
                <c:pt idx="2">
                  <c:v>4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/>
              <a:t>Сформированность учебно- познавательной деятельности   1 Б класса    2009-2010 уч.год</a:t>
            </a:r>
          </a:p>
        </c:rich>
      </c:tx>
      <c:layout>
        <c:manualLayout>
          <c:xMode val="edge"/>
          <c:yMode val="edge"/>
          <c:x val="0.10151344590368992"/>
          <c:y val="0"/>
        </c:manualLayout>
      </c:layout>
    </c:title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Сформированность учебно- познавательной деятельности   1 Б класса    2009-2010 уч.год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8.6274984857662024E-2"/>
                  <c:y val="0.18500302345253841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выс. возраст. норма
23%</a:t>
                    </a:r>
                  </a:p>
                </c:rich>
              </c:tx>
              <c:dLblPos val="bestFit"/>
              <c:showCatName val="1"/>
              <c:showPercent val="1"/>
            </c:dLbl>
            <c:dLbl>
              <c:idx val="1"/>
              <c:layout>
                <c:manualLayout>
                  <c:x val="-8.1971704756417629E-2"/>
                  <c:y val="-6.5617884495963563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Стабильная середина
46%</a:t>
                    </a:r>
                  </a:p>
                </c:rich>
              </c:tx>
              <c:dLblPos val="bestFit"/>
              <c:showCatName val="1"/>
              <c:showPercent val="1"/>
            </c:dLbl>
            <c:dLbl>
              <c:idx val="2"/>
              <c:layout>
                <c:manualLayout>
                  <c:x val="0.12153649180344014"/>
                  <c:y val="8.6307753240635859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Группа риска
31%</a:t>
                    </a:r>
                  </a:p>
                </c:rich>
              </c:tx>
              <c:dLblPos val="bestFit"/>
              <c:showCatName val="1"/>
              <c:showPercent val="1"/>
            </c:dLbl>
            <c:dLblPos val="bestFit"/>
            <c:showCatName val="1"/>
            <c:showPercent val="1"/>
          </c:dLbls>
          <c:cat>
            <c:strRef>
              <c:f>Лист1!$A$2:$A$5</c:f>
              <c:strCache>
                <c:ptCount val="3"/>
                <c:pt idx="0">
                  <c:v>выс. возраст. норма</c:v>
                </c:pt>
                <c:pt idx="1">
                  <c:v>Стабильная середина</c:v>
                </c:pt>
                <c:pt idx="2">
                  <c:v>Группа риска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12</c:v>
                </c:pt>
                <c:pt idx="2">
                  <c:v>8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</c:legend>
    <c:plotVisOnly val="1"/>
  </c:chart>
  <c:spPr>
    <a:noFill/>
    <a:ln w="19050"/>
  </c:spPr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3</cp:revision>
  <dcterms:created xsi:type="dcterms:W3CDTF">2010-01-19T14:45:00Z</dcterms:created>
  <dcterms:modified xsi:type="dcterms:W3CDTF">2014-01-04T18:42:00Z</dcterms:modified>
</cp:coreProperties>
</file>