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76" w:rsidRPr="00592250" w:rsidRDefault="00263F76" w:rsidP="00592250">
      <w:pPr>
        <w:pStyle w:val="23"/>
        <w:keepNext/>
        <w:keepLines/>
        <w:shd w:val="clear" w:color="auto" w:fill="auto"/>
        <w:spacing w:after="256"/>
        <w:ind w:left="20" w:right="700"/>
        <w:jc w:val="center"/>
        <w:rPr>
          <w:b/>
        </w:rPr>
      </w:pPr>
      <w:bookmarkStart w:id="0" w:name="bookmark0"/>
      <w:r w:rsidRPr="00592250">
        <w:rPr>
          <w:b/>
        </w:rPr>
        <w:t>Аспектный анализ урока в начальной школе.</w:t>
      </w:r>
      <w:bookmarkEnd w:id="0"/>
    </w:p>
    <w:p w:rsidR="00263F76" w:rsidRDefault="00263F76" w:rsidP="00592250">
      <w:pPr>
        <w:pStyle w:val="21"/>
        <w:shd w:val="clear" w:color="auto" w:fill="auto"/>
        <w:spacing w:before="0" w:after="0" w:line="278" w:lineRule="exact"/>
        <w:ind w:left="-567" w:right="-538" w:firstLine="300"/>
      </w:pPr>
      <w:r>
        <w:t xml:space="preserve">Научный руководитель проекта «Перспективная начальная школа» </w:t>
      </w:r>
      <w:r>
        <w:rPr>
          <w:rStyle w:val="-1pt"/>
        </w:rPr>
        <w:t>Р.Г.</w:t>
      </w:r>
      <w:r>
        <w:t xml:space="preserve"> Чуракова считает целесообразным проведение аспектного анализа урока как еди</w:t>
      </w:r>
      <w:r>
        <w:softHyphen/>
        <w:t>ного целого под определенным углом зрения, зависящим от концептуальных основ системы учебников. При этом имеется возможность полного анализа урока, когда рассматривается несколько аспектов, включающих задачи, со</w:t>
      </w:r>
      <w:r>
        <w:softHyphen/>
        <w:t>держание, технологию, санитарно-гигиенические условия и результативность урока.</w:t>
      </w:r>
    </w:p>
    <w:p w:rsidR="00263F76" w:rsidRDefault="00263F76" w:rsidP="00592250">
      <w:pPr>
        <w:pStyle w:val="21"/>
        <w:shd w:val="clear" w:color="auto" w:fill="auto"/>
        <w:spacing w:before="0" w:after="244" w:line="278" w:lineRule="exact"/>
        <w:ind w:left="-567" w:right="-538" w:firstLine="300"/>
      </w:pPr>
      <w:r>
        <w:t xml:space="preserve">По мнению </w:t>
      </w:r>
      <w:r>
        <w:rPr>
          <w:rStyle w:val="-1pt"/>
        </w:rPr>
        <w:t>Р.Г.</w:t>
      </w:r>
      <w:r>
        <w:t xml:space="preserve"> Чураковой, аспектами анализа урока в начальной школе могут быть цели (задачи) урока, основное содержание, формы обучения, самостоятельная работа учащихся, практическая направленность урока, его структура, результативность с точки зрения внедрения в учебный процесс ФГОС.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18"/>
        <w:gridCol w:w="6274"/>
      </w:tblGrid>
      <w:tr w:rsidR="00263F76" w:rsidTr="007A1CE2">
        <w:trPr>
          <w:trHeight w:hRule="exact" w:val="58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0" w:line="264" w:lineRule="exact"/>
              <w:ind w:left="500"/>
              <w:jc w:val="left"/>
            </w:pPr>
            <w:r>
              <w:rPr>
                <w:rStyle w:val="a6"/>
              </w:rPr>
              <w:t>Ведущие аспекты анализа урока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a6"/>
              </w:rPr>
              <w:t>Содержание наблюдения</w:t>
            </w:r>
          </w:p>
        </w:tc>
      </w:tr>
      <w:tr w:rsidR="00263F76" w:rsidTr="00A918D5">
        <w:trPr>
          <w:trHeight w:hRule="exact" w:val="1397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"/>
              </w:rPr>
              <w:t>Дидактическая за</w:t>
            </w:r>
            <w:r>
              <w:rPr>
                <w:rStyle w:val="1"/>
              </w:rPr>
              <w:softHyphen/>
              <w:t>дача урока (краткий оценочный анализ)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F76" w:rsidRDefault="00263F76" w:rsidP="00263F76">
            <w:pPr>
              <w:pStyle w:val="21"/>
              <w:framePr w:w="909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before="0" w:after="0" w:line="288" w:lineRule="exact"/>
            </w:pPr>
            <w:r>
              <w:rPr>
                <w:rStyle w:val="1"/>
              </w:rPr>
              <w:t>Соответствие дидактической задачи урока ото</w:t>
            </w:r>
            <w:r>
              <w:rPr>
                <w:rStyle w:val="1"/>
              </w:rPr>
              <w:softHyphen/>
              <w:t>бранному содержанию.</w:t>
            </w:r>
          </w:p>
          <w:p w:rsidR="00263F76" w:rsidRDefault="00263F76" w:rsidP="00263F76">
            <w:pPr>
              <w:pStyle w:val="21"/>
              <w:framePr w:w="909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before="0" w:after="0" w:line="288" w:lineRule="exact"/>
            </w:pPr>
            <w:r>
              <w:rPr>
                <w:rStyle w:val="1"/>
              </w:rPr>
              <w:t>Результативность решения дидактической задачи урока</w:t>
            </w:r>
          </w:p>
        </w:tc>
      </w:tr>
      <w:tr w:rsidR="00263F76" w:rsidTr="007A1CE2">
        <w:trPr>
          <w:trHeight w:hRule="exact" w:val="867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0" w:line="288" w:lineRule="exact"/>
              <w:ind w:left="140"/>
              <w:jc w:val="left"/>
            </w:pPr>
            <w:r>
              <w:rPr>
                <w:rStyle w:val="1"/>
              </w:rPr>
              <w:t>Содержание урока в соответствии с требованиями ФГОС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Соответствие основного содержания урока содер</w:t>
            </w:r>
            <w:r>
              <w:rPr>
                <w:rStyle w:val="1"/>
              </w:rPr>
              <w:softHyphen/>
              <w:t>жанию и заданиям учебника</w:t>
            </w:r>
          </w:p>
        </w:tc>
      </w:tr>
      <w:tr w:rsidR="00263F76" w:rsidTr="007A1CE2">
        <w:trPr>
          <w:trHeight w:hRule="exact" w:val="113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0" w:line="288" w:lineRule="exact"/>
              <w:ind w:left="140"/>
              <w:jc w:val="left"/>
            </w:pPr>
            <w:r>
              <w:rPr>
                <w:rStyle w:val="1"/>
              </w:rPr>
              <w:t>Методы и приемы обучения в соответ</w:t>
            </w:r>
            <w:r>
              <w:rPr>
                <w:rStyle w:val="1"/>
              </w:rPr>
              <w:softHyphen/>
              <w:t>ствии с требованиями ФГОС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"/>
              </w:rPr>
              <w:t>Соответствие приемов обучения и учения (мето</w:t>
            </w:r>
            <w:r>
              <w:rPr>
                <w:rStyle w:val="1"/>
              </w:rPr>
              <w:softHyphen/>
              <w:t>дов обучения) решению основной образовательной цели учебного занятия</w:t>
            </w:r>
          </w:p>
        </w:tc>
      </w:tr>
      <w:tr w:rsidR="00263F76" w:rsidTr="00A918D5">
        <w:trPr>
          <w:trHeight w:hRule="exact" w:val="173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0" w:line="288" w:lineRule="exact"/>
              <w:ind w:left="140"/>
              <w:jc w:val="left"/>
            </w:pPr>
            <w:r>
              <w:rPr>
                <w:rStyle w:val="1"/>
              </w:rPr>
              <w:t>Формы и средства обучения в соответ</w:t>
            </w:r>
            <w:r>
              <w:rPr>
                <w:rStyle w:val="1"/>
              </w:rPr>
              <w:softHyphen/>
              <w:t>ствии с требованиями ФГОС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F76" w:rsidRDefault="00263F76" w:rsidP="00263F76">
            <w:pPr>
              <w:pStyle w:val="21"/>
              <w:framePr w:w="909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before="0" w:after="0" w:line="288" w:lineRule="exact"/>
            </w:pPr>
            <w:r>
              <w:rPr>
                <w:rStyle w:val="1"/>
              </w:rPr>
              <w:t>Соответствие форм обучения (фронтальная, груп</w:t>
            </w:r>
            <w:r>
              <w:rPr>
                <w:rStyle w:val="1"/>
              </w:rPr>
              <w:softHyphen/>
              <w:t>повая, индивидуальная, коллективная) реализации цели урока.</w:t>
            </w:r>
          </w:p>
          <w:p w:rsidR="00263F76" w:rsidRDefault="00263F76" w:rsidP="00263F76">
            <w:pPr>
              <w:pStyle w:val="21"/>
              <w:framePr w:w="909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before="0" w:after="0" w:line="288" w:lineRule="exact"/>
            </w:pPr>
            <w:r>
              <w:rPr>
                <w:rStyle w:val="1"/>
              </w:rPr>
              <w:t>Целесообразность использования компонентов, дополняющих конкретный УМК (систему учебников)</w:t>
            </w:r>
          </w:p>
        </w:tc>
      </w:tr>
      <w:tr w:rsidR="00263F76" w:rsidTr="00A918D5">
        <w:trPr>
          <w:trHeight w:hRule="exact" w:val="86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"/>
              </w:rPr>
              <w:t>Результативность</w:t>
            </w:r>
          </w:p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"/>
              </w:rPr>
              <w:t>урока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"/>
              </w:rPr>
              <w:t>Ответная реакция детей на задания базового и по</w:t>
            </w:r>
            <w:r>
              <w:rPr>
                <w:rStyle w:val="1"/>
              </w:rPr>
              <w:softHyphen/>
              <w:t>вышенного уровней</w:t>
            </w:r>
          </w:p>
        </w:tc>
      </w:tr>
      <w:tr w:rsidR="00263F76" w:rsidTr="00A918D5">
        <w:trPr>
          <w:trHeight w:hRule="exact" w:val="77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"/>
              </w:rPr>
              <w:t>Практическая направ</w:t>
            </w:r>
            <w:r>
              <w:rPr>
                <w:rStyle w:val="1"/>
              </w:rPr>
              <w:softHyphen/>
              <w:t>ленность урока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F76" w:rsidRDefault="00263F76" w:rsidP="00A918D5">
            <w:pPr>
              <w:pStyle w:val="21"/>
              <w:framePr w:w="9091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1"/>
              </w:rPr>
              <w:t>Практическая направленность заданий, предлагае</w:t>
            </w:r>
            <w:r>
              <w:rPr>
                <w:rStyle w:val="1"/>
              </w:rPr>
              <w:softHyphen/>
              <w:t>мых обучающимся</w:t>
            </w:r>
          </w:p>
        </w:tc>
      </w:tr>
    </w:tbl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6237"/>
      </w:tblGrid>
      <w:tr w:rsidR="007E5D46" w:rsidTr="007E5D46">
        <w:trPr>
          <w:trHeight w:hRule="exact" w:val="1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3DD" w:rsidRPr="004143DD" w:rsidRDefault="004143DD" w:rsidP="004143DD">
            <w:pPr>
              <w:pStyle w:val="21"/>
              <w:shd w:val="clear" w:color="auto" w:fill="auto"/>
              <w:spacing w:before="0" w:after="0" w:line="288" w:lineRule="exac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Самостоятельная ра</w:t>
            </w:r>
            <w:r>
              <w:rPr>
                <w:rStyle w:val="1"/>
              </w:rPr>
              <w:softHyphen/>
              <w:t>бота школьников как форма организации учебной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3DD" w:rsidRPr="004143DD" w:rsidRDefault="004143DD" w:rsidP="004143D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Уровень самостоятельности школьников при ре</w:t>
            </w:r>
            <w:r>
              <w:rPr>
                <w:rStyle w:val="1"/>
              </w:rPr>
              <w:softHyphen/>
              <w:t>шении дидактической задачи урока.</w:t>
            </w:r>
          </w:p>
          <w:p w:rsidR="004143DD" w:rsidRPr="004143DD" w:rsidRDefault="004143DD" w:rsidP="004143D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after="0" w:line="288" w:lineRule="exac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Характер самостоятельной учебной деятельности (репродуктивный, творческий).</w:t>
            </w:r>
          </w:p>
          <w:p w:rsidR="004143DD" w:rsidRPr="004143DD" w:rsidRDefault="004143DD" w:rsidP="004143D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0" w:after="0" w:line="288" w:lineRule="exac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Взаимопомощь</w:t>
            </w:r>
          </w:p>
        </w:tc>
      </w:tr>
      <w:tr w:rsidR="007E5D46" w:rsidTr="007E5D46">
        <w:trPr>
          <w:trHeight w:hRule="exact" w:val="9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CE2" w:rsidRPr="007A1CE2" w:rsidRDefault="007A1CE2" w:rsidP="007A1CE2">
            <w:pPr>
              <w:pStyle w:val="21"/>
              <w:shd w:val="clear" w:color="auto" w:fill="auto"/>
              <w:spacing w:before="0" w:after="0" w:line="288" w:lineRule="exac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Структура урока (структурный анализ)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CE2" w:rsidRPr="007A1CE2" w:rsidRDefault="007A1CE2" w:rsidP="007A1CE2">
            <w:pPr>
              <w:pStyle w:val="21"/>
              <w:shd w:val="clear" w:color="auto" w:fill="auto"/>
              <w:tabs>
                <w:tab w:val="left" w:pos="288"/>
              </w:tabs>
              <w:spacing w:before="0" w:after="0" w:line="288" w:lineRule="exac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Соответствие структуры урока основной задаче</w:t>
            </w:r>
          </w:p>
        </w:tc>
      </w:tr>
      <w:tr w:rsidR="007E5D46" w:rsidTr="007E5D46">
        <w:trPr>
          <w:trHeight w:hRule="exact" w:val="9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CE2" w:rsidRPr="007A1CE2" w:rsidRDefault="007A1CE2" w:rsidP="007A1CE2">
            <w:pPr>
              <w:pStyle w:val="21"/>
              <w:shd w:val="clear" w:color="auto" w:fill="auto"/>
              <w:spacing w:before="0" w:after="0" w:line="288" w:lineRule="exac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Гигиенические требо</w:t>
            </w:r>
            <w:r>
              <w:rPr>
                <w:rStyle w:val="1"/>
              </w:rPr>
              <w:softHyphen/>
              <w:t>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CE2" w:rsidRPr="007A1CE2" w:rsidRDefault="007A1CE2" w:rsidP="007A1CE2">
            <w:pPr>
              <w:pStyle w:val="21"/>
              <w:shd w:val="clear" w:color="auto" w:fill="auto"/>
              <w:tabs>
                <w:tab w:val="left" w:pos="288"/>
              </w:tabs>
              <w:spacing w:before="0" w:after="0" w:line="288" w:lineRule="exac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Температурный режим, проветривание класса, ос</w:t>
            </w:r>
            <w:r>
              <w:rPr>
                <w:rStyle w:val="1"/>
              </w:rPr>
              <w:softHyphen/>
              <w:t>вещенность, соответствие классной мебели росту детей, чередование видов деятельности, динамиче</w:t>
            </w:r>
            <w:r>
              <w:rPr>
                <w:rStyle w:val="1"/>
              </w:rPr>
              <w:softHyphen/>
              <w:t>ские паузы</w:t>
            </w:r>
          </w:p>
        </w:tc>
      </w:tr>
    </w:tbl>
    <w:p w:rsidR="00D61371" w:rsidRDefault="00D61371"/>
    <w:sectPr w:rsidR="00D61371" w:rsidSect="00D6137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406" w:rsidRDefault="00EB4406" w:rsidP="00263F76">
      <w:r>
        <w:separator/>
      </w:r>
    </w:p>
  </w:endnote>
  <w:endnote w:type="continuationSeparator" w:id="1">
    <w:p w:rsidR="00EB4406" w:rsidRDefault="00EB4406" w:rsidP="0026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CE" w:rsidRDefault="00EB4406">
    <w:pPr>
      <w:rPr>
        <w:sz w:val="2"/>
        <w:szCs w:val="2"/>
      </w:rPr>
    </w:pPr>
    <w:r w:rsidRPr="00B939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0.55pt;margin-top:755.05pt;width:14.15pt;height:5.7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47CE" w:rsidRDefault="00EB4406">
                <w:r>
                  <w:rPr>
                    <w:rStyle w:val="MSMincho3pt"/>
                  </w:rPr>
                  <w:t>6</w:t>
                </w:r>
                <w:r>
                  <w:rPr>
                    <w:rStyle w:val="MSMincho3pt"/>
                    <w:vertAlign w:val="superscript"/>
                  </w:rPr>
                  <w:t xml:space="preserve">j </w:t>
                </w:r>
                <w:r>
                  <w:rPr>
                    <w:rStyle w:val="10pt"/>
                    <w:vertAlign w:val="superscript"/>
                    <w:lang w:val="en-US"/>
                  </w:rPr>
                  <w:t>w</w:t>
                </w:r>
              </w:p>
            </w:txbxContent>
          </v:textbox>
          <w10:wrap anchorx="page" anchory="page"/>
        </v:shape>
      </w:pict>
    </w:r>
    <w:r w:rsidRPr="00B9398E">
      <w:pict>
        <v:shape id="_x0000_s1030" type="#_x0000_t202" style="position:absolute;margin-left:294.5pt;margin-top:767.05pt;width:7.7pt;height:7.2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47CE" w:rsidRDefault="00EB440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4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CE" w:rsidRDefault="00EB440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406" w:rsidRDefault="00EB4406" w:rsidP="00263F76">
      <w:r>
        <w:separator/>
      </w:r>
    </w:p>
  </w:footnote>
  <w:footnote w:type="continuationSeparator" w:id="1">
    <w:p w:rsidR="00EB4406" w:rsidRDefault="00EB4406" w:rsidP="00263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CE" w:rsidRDefault="00EB4406">
    <w:pPr>
      <w:rPr>
        <w:sz w:val="2"/>
        <w:szCs w:val="2"/>
      </w:rPr>
    </w:pPr>
    <w:r w:rsidRPr="00B939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3.7pt;margin-top:50.9pt;width:452.4pt;height:9.6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47CE" w:rsidRDefault="00EB4406">
                <w:r>
                  <w:rPr>
                    <w:rStyle w:val="a4"/>
                  </w:rPr>
                  <w:t xml:space="preserve">2. </w:t>
                </w:r>
                <w:r>
                  <w:rPr>
                    <w:rStyle w:val="a4"/>
                  </w:rPr>
                  <w:t>Концептуальные положения системы «Перспективная начальная школа»—дидактическая основасовременного урока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CE" w:rsidRDefault="00EB440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37671"/>
    <w:multiLevelType w:val="multilevel"/>
    <w:tmpl w:val="2CF4015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5154D5"/>
    <w:multiLevelType w:val="multilevel"/>
    <w:tmpl w:val="7A2EAA5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557F67"/>
    <w:multiLevelType w:val="multilevel"/>
    <w:tmpl w:val="BA50084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3F76"/>
    <w:rsid w:val="000010B9"/>
    <w:rsid w:val="00005931"/>
    <w:rsid w:val="00040A94"/>
    <w:rsid w:val="00042393"/>
    <w:rsid w:val="000540DA"/>
    <w:rsid w:val="00096EAA"/>
    <w:rsid w:val="000A3A6E"/>
    <w:rsid w:val="000D5415"/>
    <w:rsid w:val="000E3257"/>
    <w:rsid w:val="000E55E3"/>
    <w:rsid w:val="000F1D43"/>
    <w:rsid w:val="000F327C"/>
    <w:rsid w:val="000F39D5"/>
    <w:rsid w:val="00103D1E"/>
    <w:rsid w:val="00140D3C"/>
    <w:rsid w:val="001417BC"/>
    <w:rsid w:val="00173E8C"/>
    <w:rsid w:val="00177EE3"/>
    <w:rsid w:val="00183345"/>
    <w:rsid w:val="001D5DDB"/>
    <w:rsid w:val="001F029C"/>
    <w:rsid w:val="001F0A15"/>
    <w:rsid w:val="001F29BD"/>
    <w:rsid w:val="00211787"/>
    <w:rsid w:val="00222918"/>
    <w:rsid w:val="00263B2E"/>
    <w:rsid w:val="00263F76"/>
    <w:rsid w:val="00265729"/>
    <w:rsid w:val="00275C59"/>
    <w:rsid w:val="002D48D3"/>
    <w:rsid w:val="002D70B5"/>
    <w:rsid w:val="002E55E3"/>
    <w:rsid w:val="00334F8A"/>
    <w:rsid w:val="00362C1D"/>
    <w:rsid w:val="00387B72"/>
    <w:rsid w:val="003A70E1"/>
    <w:rsid w:val="003B298F"/>
    <w:rsid w:val="003C3106"/>
    <w:rsid w:val="003D04AE"/>
    <w:rsid w:val="003F493E"/>
    <w:rsid w:val="004040D6"/>
    <w:rsid w:val="00412A40"/>
    <w:rsid w:val="004143DD"/>
    <w:rsid w:val="00427542"/>
    <w:rsid w:val="004308CE"/>
    <w:rsid w:val="00491232"/>
    <w:rsid w:val="004B7D82"/>
    <w:rsid w:val="004C218D"/>
    <w:rsid w:val="004E4960"/>
    <w:rsid w:val="004E7E31"/>
    <w:rsid w:val="00502225"/>
    <w:rsid w:val="00523AB0"/>
    <w:rsid w:val="0056285F"/>
    <w:rsid w:val="00563DC7"/>
    <w:rsid w:val="00575E5C"/>
    <w:rsid w:val="00592250"/>
    <w:rsid w:val="00594F76"/>
    <w:rsid w:val="00612946"/>
    <w:rsid w:val="00637A19"/>
    <w:rsid w:val="00652391"/>
    <w:rsid w:val="006528AF"/>
    <w:rsid w:val="00660D3C"/>
    <w:rsid w:val="006A33D6"/>
    <w:rsid w:val="006B027C"/>
    <w:rsid w:val="006E6CB4"/>
    <w:rsid w:val="006F4D8A"/>
    <w:rsid w:val="00721494"/>
    <w:rsid w:val="00747692"/>
    <w:rsid w:val="00753D9A"/>
    <w:rsid w:val="00783993"/>
    <w:rsid w:val="007A1CE2"/>
    <w:rsid w:val="007D21AA"/>
    <w:rsid w:val="007E5D46"/>
    <w:rsid w:val="007F170C"/>
    <w:rsid w:val="00804266"/>
    <w:rsid w:val="0081649B"/>
    <w:rsid w:val="00821B07"/>
    <w:rsid w:val="008325D4"/>
    <w:rsid w:val="00844C7F"/>
    <w:rsid w:val="008459C6"/>
    <w:rsid w:val="008B763D"/>
    <w:rsid w:val="008D23B1"/>
    <w:rsid w:val="009322E4"/>
    <w:rsid w:val="0094098D"/>
    <w:rsid w:val="0095071E"/>
    <w:rsid w:val="00987F3B"/>
    <w:rsid w:val="00992561"/>
    <w:rsid w:val="009C0C27"/>
    <w:rsid w:val="009D3769"/>
    <w:rsid w:val="009D5783"/>
    <w:rsid w:val="009E39B8"/>
    <w:rsid w:val="009F5E82"/>
    <w:rsid w:val="00A15867"/>
    <w:rsid w:val="00A222F8"/>
    <w:rsid w:val="00A52661"/>
    <w:rsid w:val="00A740C2"/>
    <w:rsid w:val="00A8170F"/>
    <w:rsid w:val="00A86902"/>
    <w:rsid w:val="00AA7344"/>
    <w:rsid w:val="00AA781B"/>
    <w:rsid w:val="00AB4E29"/>
    <w:rsid w:val="00AB5B16"/>
    <w:rsid w:val="00AC421B"/>
    <w:rsid w:val="00AD2768"/>
    <w:rsid w:val="00AF4D9A"/>
    <w:rsid w:val="00B25910"/>
    <w:rsid w:val="00B52D12"/>
    <w:rsid w:val="00B972A4"/>
    <w:rsid w:val="00BA7187"/>
    <w:rsid w:val="00BC7592"/>
    <w:rsid w:val="00BF270B"/>
    <w:rsid w:val="00BF2C55"/>
    <w:rsid w:val="00BF3E01"/>
    <w:rsid w:val="00C15BF3"/>
    <w:rsid w:val="00C26F3F"/>
    <w:rsid w:val="00C54179"/>
    <w:rsid w:val="00C64760"/>
    <w:rsid w:val="00C731DA"/>
    <w:rsid w:val="00C82080"/>
    <w:rsid w:val="00C9138E"/>
    <w:rsid w:val="00CC0ACD"/>
    <w:rsid w:val="00CF2A5D"/>
    <w:rsid w:val="00D10D00"/>
    <w:rsid w:val="00D259AE"/>
    <w:rsid w:val="00D273FE"/>
    <w:rsid w:val="00D55B74"/>
    <w:rsid w:val="00D61371"/>
    <w:rsid w:val="00D6508A"/>
    <w:rsid w:val="00D81C26"/>
    <w:rsid w:val="00D92F82"/>
    <w:rsid w:val="00D94604"/>
    <w:rsid w:val="00DB1958"/>
    <w:rsid w:val="00E0227D"/>
    <w:rsid w:val="00E21B5D"/>
    <w:rsid w:val="00E316BC"/>
    <w:rsid w:val="00E36BD3"/>
    <w:rsid w:val="00E420F6"/>
    <w:rsid w:val="00E64887"/>
    <w:rsid w:val="00E97655"/>
    <w:rsid w:val="00EB4406"/>
    <w:rsid w:val="00EB6CAD"/>
    <w:rsid w:val="00F166A9"/>
    <w:rsid w:val="00F42862"/>
    <w:rsid w:val="00F74CFB"/>
    <w:rsid w:val="00F757DE"/>
    <w:rsid w:val="00FA6CD9"/>
    <w:rsid w:val="00FF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F76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3F76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263F7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"/>
    <w:basedOn w:val="a3"/>
    <w:rsid w:val="00263F76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_"/>
    <w:basedOn w:val="a0"/>
    <w:link w:val="21"/>
    <w:rsid w:val="00263F76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263F76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263F76"/>
    <w:rPr>
      <w:color w:val="000000"/>
      <w:spacing w:val="-30"/>
      <w:w w:val="100"/>
      <w:position w:val="0"/>
      <w:lang w:val="ru-RU"/>
    </w:rPr>
  </w:style>
  <w:style w:type="character" w:customStyle="1" w:styleId="a6">
    <w:name w:val="Основной текст + Полужирный"/>
    <w:basedOn w:val="a5"/>
    <w:rsid w:val="00263F76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5"/>
    <w:rsid w:val="00263F76"/>
    <w:rPr>
      <w:color w:val="000000"/>
      <w:spacing w:val="0"/>
      <w:w w:val="100"/>
      <w:position w:val="0"/>
      <w:lang w:val="ru-RU"/>
    </w:rPr>
  </w:style>
  <w:style w:type="character" w:customStyle="1" w:styleId="24">
    <w:name w:val="Подпись к таблице (2)_"/>
    <w:basedOn w:val="a0"/>
    <w:link w:val="25"/>
    <w:rsid w:val="00263F76"/>
    <w:rPr>
      <w:rFonts w:ascii="Microsoft Sans Serif" w:eastAsia="Microsoft Sans Serif" w:hAnsi="Microsoft Sans Serif" w:cs="Microsoft Sans Serif"/>
      <w:i/>
      <w:iCs/>
      <w:spacing w:val="-10"/>
      <w:sz w:val="23"/>
      <w:szCs w:val="23"/>
      <w:shd w:val="clear" w:color="auto" w:fill="FFFFFF"/>
    </w:rPr>
  </w:style>
  <w:style w:type="character" w:customStyle="1" w:styleId="MSMincho3pt">
    <w:name w:val="Колонтитул + MS Mincho;Интервал 3 pt"/>
    <w:basedOn w:val="a3"/>
    <w:rsid w:val="00263F76"/>
    <w:rPr>
      <w:rFonts w:ascii="MS Mincho" w:eastAsia="MS Mincho" w:hAnsi="MS Mincho" w:cs="MS Mincho"/>
      <w:color w:val="000000"/>
      <w:spacing w:val="60"/>
      <w:w w:val="100"/>
      <w:position w:val="0"/>
      <w:lang w:val="en-US"/>
    </w:rPr>
  </w:style>
  <w:style w:type="character" w:customStyle="1" w:styleId="10pt">
    <w:name w:val="Колонтитул + 10 pt"/>
    <w:basedOn w:val="a3"/>
    <w:rsid w:val="00263F76"/>
    <w:rPr>
      <w:color w:val="000000"/>
      <w:spacing w:val="0"/>
      <w:w w:val="100"/>
      <w:position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263F76"/>
    <w:pPr>
      <w:shd w:val="clear" w:color="auto" w:fill="FFFFFF"/>
      <w:spacing w:after="240" w:line="302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eastAsia="en-US"/>
    </w:rPr>
  </w:style>
  <w:style w:type="paragraph" w:customStyle="1" w:styleId="21">
    <w:name w:val="Основной текст2"/>
    <w:basedOn w:val="a"/>
    <w:link w:val="a5"/>
    <w:rsid w:val="00263F76"/>
    <w:pPr>
      <w:shd w:val="clear" w:color="auto" w:fill="FFFFFF"/>
      <w:spacing w:before="240" w:after="240" w:line="283" w:lineRule="exact"/>
      <w:jc w:val="both"/>
    </w:pPr>
    <w:rPr>
      <w:rFonts w:ascii="Microsoft Sans Serif" w:eastAsia="Microsoft Sans Serif" w:hAnsi="Microsoft Sans Serif" w:cs="Microsoft Sans Serif"/>
      <w:color w:val="auto"/>
      <w:sz w:val="23"/>
      <w:szCs w:val="23"/>
      <w:lang w:eastAsia="en-US"/>
    </w:rPr>
  </w:style>
  <w:style w:type="paragraph" w:customStyle="1" w:styleId="23">
    <w:name w:val="Заголовок №2"/>
    <w:basedOn w:val="a"/>
    <w:link w:val="22"/>
    <w:rsid w:val="00263F76"/>
    <w:pPr>
      <w:shd w:val="clear" w:color="auto" w:fill="FFFFFF"/>
      <w:spacing w:after="240" w:line="298" w:lineRule="exact"/>
      <w:outlineLvl w:val="1"/>
    </w:pPr>
    <w:rPr>
      <w:rFonts w:ascii="Microsoft Sans Serif" w:eastAsia="Microsoft Sans Serif" w:hAnsi="Microsoft Sans Serif" w:cs="Microsoft Sans Serif"/>
      <w:color w:val="auto"/>
      <w:sz w:val="26"/>
      <w:szCs w:val="26"/>
      <w:lang w:eastAsia="en-US"/>
    </w:rPr>
  </w:style>
  <w:style w:type="paragraph" w:customStyle="1" w:styleId="25">
    <w:name w:val="Подпись к таблице (2)"/>
    <w:basedOn w:val="a"/>
    <w:link w:val="24"/>
    <w:rsid w:val="00263F7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color w:val="auto"/>
      <w:spacing w:val="-10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63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3F7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63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3F7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ТОИУУ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2013-11-18T09:03:00Z</dcterms:created>
  <dcterms:modified xsi:type="dcterms:W3CDTF">2013-11-18T09:09:00Z</dcterms:modified>
</cp:coreProperties>
</file>