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30" w:rsidRPr="00381230" w:rsidRDefault="00381230" w:rsidP="0038123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u w:val="single"/>
          <w:shd w:val="clear" w:color="auto" w:fill="CBE7F1"/>
          <w:lang w:eastAsia="ru-RU"/>
        </w:rPr>
        <w:t>Принципы и положения для работы с технологическими картами</w:t>
      </w:r>
    </w:p>
    <w:p w:rsidR="00381230" w:rsidRPr="00381230" w:rsidRDefault="00381230" w:rsidP="0038123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Для полноценного и эффективного использования технологических карт необходимо знать ряд принципов и положений, которые помогут вам работать с ней. 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Технологическая карта —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метапредметных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 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Технологическая карта предназначена для проектирования учебного процесса по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темам.Структура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технологической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карты:название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темы с указанием часов, отведенных на ее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изучение;планируемые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результаты (предметные, личностные,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метапредметные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);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межпредметные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связи и особенности организации пространства (формы работы и ресурсы);этапы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усвоения);контрольное задание на проверку достижения планируемых результатов.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Технологическая карта позволит </w:t>
      </w:r>
      <w:proofErr w:type="spellStart"/>
      <w:proofErr w:type="gram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учителю:реализовать</w:t>
      </w:r>
      <w:proofErr w:type="spellEnd"/>
      <w:proofErr w:type="gram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планируемые результаты ФГОС второго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поколения;системно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формировать у учащихся универсальные учебные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действия;проектировать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свою деятельность на четверть, полугодие, год посредством перехода от поурочного планирования к проектированию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темы;на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практике реализовать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межпредметные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связи;выполнять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диагностику достижения планируемых результатов учащимися на каждом этапе освоения темы.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Технологическая карта позволит администрации </w:t>
      </w:r>
      <w:proofErr w:type="spellStart"/>
      <w:proofErr w:type="gram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школы:контролировать</w:t>
      </w:r>
      <w:proofErr w:type="spellEnd"/>
      <w:proofErr w:type="gram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выполнение программы и достижение планируемых результатов, а также осуществлять необходимую методическую помощь.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Технологические карты разрабатываются учителями школ г. Санкт-Петербурга, работающих по УМК «Перспектива» издательства «Просвещение», в рамках эксперимента, рассчитанного на 4 года обучения в начальной школе. Научное руководство экспериментальной деятельностью осуществляет Санкт-Петербургская Академия постдипломного педагогического образования. Сегодня в инновационной деятельности по освоению нового образовательного стандарта принимают участие 12 школ Санкт-Петербурга и более пятидесяти педагогов. Руководители образовательных учреждений обеспечили условия подготовки учителей к инновационной деятельности: обучение, экспериментальную деятельность, участие в научно-практических конференциях, моральное и материальное стимулирование. Учителя-экспериментаторы в рамках повышения квалификации освоили инновационные программы: «Новый образовательный стандарт второго поколения», «Условия формирования УУД», «Технология работы с информацией» и другие. 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Представленные Вашему вниманию технологические карты разработаны в течение первого года эксперимента и предназначены для обучения детей в 1-м классе. В них детально проработаны этапы обучения, обеспечивающие, предметные и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метапредметные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умения. 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В 2010 году мы планируем опубликовать на сайте издательства «Просвещение» технологические карты для обучения детей во 2-м классе.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Апробация новейших разработок показала следующие </w:t>
      </w:r>
      <w:proofErr w:type="spellStart"/>
      <w:proofErr w:type="gram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результаты:значительно</w:t>
      </w:r>
      <w:proofErr w:type="spellEnd"/>
      <w:proofErr w:type="gram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повышается уровень мотивации учащихся к учебной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деятельности;появляется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конструктивная коммуникация ученика и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учителя;школьники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позитивно воспринимают и успешно используют приобретенные знания и умения в интеллектуально-преобразовательной деятельности в рамках изучаемой темы.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Технологические карты разработаны на основе технологии развития информационно-интеллектуальной компетентности (ТРИИК), которая раскрывает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общедидактические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метапредметных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На первом этапе «Самоопределение в деятельности» 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личностно-значимой цели деятельности.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На втором этапе «Учебно-познавательной деятельности» 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</w:t>
      </w: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lastRenderedPageBreak/>
        <w:t xml:space="preserve">конкретной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темы.Каждый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блок представляет цикл пошагового выполнения учебных заданий по освоению конкретного содержания и включает: </w:t>
      </w:r>
    </w:p>
    <w:p w:rsidR="00381230" w:rsidRPr="00381230" w:rsidRDefault="00381230" w:rsidP="00381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на 1 шаге — организацию деятельности учащихся по освоению учебной информации на уровне «знания» — освоение отдельных терминов, понятий, высказываний;</w:t>
      </w:r>
    </w:p>
    <w:p w:rsidR="00381230" w:rsidRPr="00381230" w:rsidRDefault="00381230" w:rsidP="00381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на 2 шаге — организацию деятельности учащихся по освоению этой же учебной информации на уровне «понимания»;</w:t>
      </w:r>
    </w:p>
    <w:p w:rsidR="00381230" w:rsidRPr="00381230" w:rsidRDefault="00381230" w:rsidP="00381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на 3 шаге — организацию деятельности учащихся по освоению этой же учебной информации на уровне «умения»;</w:t>
      </w:r>
    </w:p>
    <w:p w:rsidR="00381230" w:rsidRPr="00381230" w:rsidRDefault="00381230" w:rsidP="00381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на 4 шаге — организацию деятельности учащихся по предъявлению результата освоения этой же учебной информации данного блока.</w:t>
      </w:r>
    </w:p>
    <w:p w:rsidR="00381230" w:rsidRPr="00381230" w:rsidRDefault="00381230" w:rsidP="00381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Диагностическое задание по своему характеру соответствует заданию на «умение», но его цель - установить степень освоения содержательного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блока.Учебные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метапредметным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этапе.На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третьем этапе «Интеллектуально-преобразовательной деятельности» 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самоорганизуются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для выполнения ситуативного задания. </w:t>
      </w:r>
    </w:p>
    <w:p w:rsidR="00381230" w:rsidRPr="00381230" w:rsidRDefault="00381230" w:rsidP="00381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задания.На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четвертом этапе «Рефлексивной деятельности» 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метапредметных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 (познавательных, регулятивных, коммуникативных), но и развития информационно-интеллектуальной компетентности младших </w:t>
      </w:r>
      <w:proofErr w:type="spell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школьников.Авторы</w:t>
      </w:r>
      <w:proofErr w:type="spell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 xml:space="preserve">-разработчики обращаются ко всем, кого заинтересовала эта тема, присылайте с вои отклики, </w:t>
      </w:r>
      <w:proofErr w:type="gramStart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комментарии,  мнения</w:t>
      </w:r>
      <w:proofErr w:type="gramEnd"/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, варианты использования технологических карт. </w:t>
      </w:r>
    </w:p>
    <w:p w:rsidR="00381230" w:rsidRPr="00381230" w:rsidRDefault="00381230" w:rsidP="0038123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</w:p>
    <w:p w:rsidR="00381230" w:rsidRPr="00381230" w:rsidRDefault="00381230" w:rsidP="0038123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u w:val="single"/>
          <w:shd w:val="clear" w:color="auto" w:fill="CBE7F1"/>
          <w:lang w:eastAsia="ru-RU"/>
        </w:rPr>
        <w:t>Технологические карты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shd w:val="clear" w:color="auto" w:fill="CBE7F1"/>
          <w:lang w:eastAsia="ru-RU"/>
        </w:rPr>
        <w:t>Литературное чтение </w:t>
      </w:r>
      <w:hyperlink r:id="rId5" w:history="1">
        <w:r w:rsidRPr="00381230">
          <w:rPr>
            <w:rFonts w:ascii="Arial" w:eastAsia="Times New Roman" w:hAnsi="Arial" w:cs="Arial"/>
            <w:color w:val="D21918"/>
            <w:sz w:val="20"/>
            <w:szCs w:val="20"/>
            <w:shd w:val="clear" w:color="auto" w:fill="CBE7F1"/>
            <w:lang w:eastAsia="ru-RU"/>
          </w:rPr>
          <w:t>/Schitova/techn_kart/tekhnologicheskie_karty_literaturnoe_chtenie.zip</w:t>
        </w:r>
      </w:hyperlink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38123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Обучение</w:t>
      </w:r>
      <w:r w:rsidRPr="00381230"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  <w:t xml:space="preserve"> </w:t>
      </w:r>
      <w:r w:rsidRPr="0038123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грамоте</w:t>
      </w:r>
      <w:r w:rsidRPr="00381230"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  <w:t> </w:t>
      </w:r>
      <w:hyperlink r:id="rId6" w:history="1">
        <w:r w:rsidRPr="00381230">
          <w:rPr>
            <w:rFonts w:ascii="Arial" w:eastAsia="Times New Roman" w:hAnsi="Arial" w:cs="Arial"/>
            <w:color w:val="D21918"/>
            <w:sz w:val="24"/>
            <w:szCs w:val="24"/>
            <w:lang w:val="en-US" w:eastAsia="ru-RU"/>
          </w:rPr>
          <w:t>/Schitova/techn_kart/tekhnologicheskie_karty_chtenie_obuchenie_gramote.zip</w:t>
        </w:r>
      </w:hyperlink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Письмо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> </w:t>
      </w:r>
      <w:hyperlink r:id="rId7" w:history="1"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</w:t>
        </w:r>
        <w:proofErr w:type="spellStart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Schitova</w:t>
        </w:r>
        <w:proofErr w:type="spellEnd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</w:t>
        </w:r>
        <w:proofErr w:type="spellStart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techn_kart</w:t>
        </w:r>
        <w:proofErr w:type="spellEnd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/tekhnologicheskie_karty_pismo.zip</w:t>
        </w:r>
      </w:hyperlink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Русский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язык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> </w:t>
      </w:r>
      <w:hyperlink r:id="rId8" w:history="1"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/Schitova/techn_kart/tekhnologicheskie_karty_po_russkomu_jazyku.zip</w:t>
        </w:r>
      </w:hyperlink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Технология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> </w:t>
      </w:r>
      <w:hyperlink r:id="rId9" w:history="1"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</w:t>
        </w:r>
        <w:proofErr w:type="spellStart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Schitova</w:t>
        </w:r>
        <w:proofErr w:type="spellEnd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</w:t>
        </w:r>
        <w:proofErr w:type="spellStart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techn_kart</w:t>
        </w:r>
        <w:proofErr w:type="spellEnd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/tekhnologicheskie_karty.zip</w:t>
        </w:r>
      </w:hyperlink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38123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Окружающий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мир</w:t>
      </w:r>
      <w:r w:rsidRPr="00381230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> </w:t>
      </w:r>
      <w:hyperlink r:id="rId10" w:history="1"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</w:t>
        </w:r>
        <w:proofErr w:type="spellStart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Schitova</w:t>
        </w:r>
        <w:proofErr w:type="spellEnd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</w:t>
        </w:r>
        <w:proofErr w:type="spellStart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techn_kart</w:t>
        </w:r>
        <w:proofErr w:type="spellEnd"/>
        <w:r w:rsidRPr="00381230">
          <w:rPr>
            <w:rFonts w:ascii="Arial" w:eastAsia="Times New Roman" w:hAnsi="Arial" w:cs="Arial"/>
            <w:color w:val="D21918"/>
            <w:sz w:val="20"/>
            <w:szCs w:val="20"/>
            <w:lang w:val="en-US" w:eastAsia="ru-RU"/>
          </w:rPr>
          <w:t>/tekhnologicheskie_karty_ork_mir.zip</w:t>
        </w:r>
      </w:hyperlink>
    </w:p>
    <w:p w:rsidR="00381230" w:rsidRPr="00381230" w:rsidRDefault="00381230" w:rsidP="00381230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p w:rsidR="00381230" w:rsidRPr="00381230" w:rsidRDefault="00381230" w:rsidP="00381230">
      <w:pPr>
        <w:shd w:val="clear" w:color="auto" w:fill="CBE7F1"/>
        <w:spacing w:after="0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8123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материалам сайта "Издательство "Просвещение" </w:t>
      </w:r>
      <w:r w:rsidRPr="0038123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   </w:t>
      </w:r>
    </w:p>
    <w:p w:rsidR="00381230" w:rsidRPr="00381230" w:rsidRDefault="00381230" w:rsidP="00381230">
      <w:pPr>
        <w:shd w:val="clear" w:color="auto" w:fill="CBE7F1"/>
        <w:spacing w:after="0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1" w:history="1">
        <w:r w:rsidRPr="00381230">
          <w:rPr>
            <w:rFonts w:ascii="Arial" w:eastAsia="Times New Roman" w:hAnsi="Arial" w:cs="Arial"/>
            <w:color w:val="D21918"/>
            <w:sz w:val="18"/>
            <w:szCs w:val="18"/>
            <w:lang w:eastAsia="ru-RU"/>
          </w:rPr>
          <w:t>http://www.prosv.ru/umk/perspektiva/info.aspx?ob_no=32824</w:t>
        </w:r>
      </w:hyperlink>
    </w:p>
    <w:p w:rsidR="002F0588" w:rsidRDefault="002F0588"/>
    <w:p w:rsidR="00381230" w:rsidRDefault="00381230"/>
    <w:p w:rsidR="00381230" w:rsidRDefault="00381230" w:rsidP="0038123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230" w:rsidRDefault="00381230" w:rsidP="0038123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230" w:rsidRDefault="00381230" w:rsidP="0038123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230" w:rsidRPr="00381230" w:rsidRDefault="00381230" w:rsidP="00381230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интересной частью УМК Перспектива являются </w:t>
      </w:r>
      <w:r w:rsidRPr="003812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технологические карты</w:t>
      </w:r>
    </w:p>
    <w:p w:rsidR="00381230" w:rsidRPr="00381230" w:rsidRDefault="00381230" w:rsidP="0038123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«Технологическая карта» – новый вид методической продукции, обеспечивающей учителю эффективное и качественное освоение нового учебного курса путем перехода </w:t>
      </w: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планирования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урока  к  проектированию  учебного  процесса  по  темам. </w:t>
      </w: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технологической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карте  дается описание процесса обучения в определенной структуре и в заданной последовательности. </w:t>
      </w:r>
    </w:p>
    <w:p w:rsidR="00381230" w:rsidRPr="00381230" w:rsidRDefault="00381230" w:rsidP="003812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Технологическая  карта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позволяет: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 стандарт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образования;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 и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системе  применить  предложенную технологию по формированию  у  учащихся  универсальных  учебных  действий;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 целостную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картину  мира  за  счет  реального использования  «</w:t>
      </w:r>
      <w:proofErr w:type="spell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связей»;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  </w:t>
      </w: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 воспитательный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потенциал  УМК «Перспектива»;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 уровень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раскрытия  материала  и  соотнести  его  с изучаемым  материалом  в  последующих  классах;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 региональный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 школьный  материал,  основываясь на  материале  УМК  «Перспектива»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 свой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творческий  потенциал (в  технологической  карте даются  готовые  разработки  всех  тем  предметов    учебного  плана,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освобождается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 рутинной  непродуктивной  работы    по подготовке  к  урокам);</w:t>
      </w:r>
    </w:p>
    <w:p w:rsidR="00381230" w:rsidRPr="00381230" w:rsidRDefault="00381230" w:rsidP="0038123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индивидуализировать  и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дифференцировать  учебный процесс</w:t>
      </w:r>
      <w:r w:rsidRPr="0038123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381230" w:rsidRPr="00381230" w:rsidRDefault="00381230" w:rsidP="00381230">
      <w:pPr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полноценного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эффективного  использования  технологических  карт  необходимо  знать  ряд  принципов  и  положений,  обязательных  для  работы  с   ней. Конструирование универсального инструментария (технологической карты) направлено </w:t>
      </w: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достижение</w:t>
      </w:r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заявленных в  стандартах</w:t>
      </w:r>
      <w:r w:rsidRPr="00381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8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поколения.  Стандарты отвечают на вопрос: «Чему учить?», технологическая карта – «Как учить</w:t>
      </w: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помочь ребенку эффективно освоить содержание образования, достичь требуемых результатов</w:t>
      </w:r>
    </w:p>
    <w:p w:rsidR="00381230" w:rsidRPr="00381230" w:rsidRDefault="00381230" w:rsidP="00381230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традиционными «методичками» в технологической карте раскрывается тема изучения материала, а не один урок, что дает возможность системно освоить содержание от цели до результата, поставить и решить задачи достижения не только предметных результатов, но и личностных, </w:t>
      </w:r>
      <w:proofErr w:type="gram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proofErr w:type="spell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proofErr w:type="gram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381230" w:rsidRPr="00381230" w:rsidRDefault="00381230" w:rsidP="00381230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включает в себя: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темы;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часов, отведенное на ее изучение;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освоения учебного содержания;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предметные, </w:t>
      </w:r>
      <w:proofErr w:type="spell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темы;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организацию пространства (формы работы и ресурсы);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изучения указанной темы;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диагностических заданий, определяющих уровень усвоения материала на каждом этапе его изучения;</w:t>
      </w:r>
    </w:p>
    <w:p w:rsidR="00381230" w:rsidRPr="00381230" w:rsidRDefault="00381230" w:rsidP="0038123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 по теме, определяющие достижение планируемых результатов в рамах изучения заявленной темы</w:t>
      </w:r>
    </w:p>
    <w:p w:rsidR="00381230" w:rsidRDefault="00381230"/>
    <w:sectPr w:rsidR="003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3C9A"/>
    <w:multiLevelType w:val="multilevel"/>
    <w:tmpl w:val="364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03CA"/>
    <w:multiLevelType w:val="multilevel"/>
    <w:tmpl w:val="FC6E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625DF"/>
    <w:multiLevelType w:val="multilevel"/>
    <w:tmpl w:val="0A6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14"/>
    <w:rsid w:val="002F0588"/>
    <w:rsid w:val="00381230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D395-4EE4-4A1F-BF45-6730BDF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shki.ucoz.ru/Schitova/techn_kart/tekhnologicheskie_karty_po_russkomu_jazyku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shki.ucoz.ru/Schitova/techn_kart/tekhnologicheskie_karty_pismo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shki.ucoz.ru/Schitova/techn_kart/tekhnologicheskie_karty_chtenie_obuchenie_gramote.zip" TargetMode="External"/><Relationship Id="rId11" Type="http://schemas.openxmlformats.org/officeDocument/2006/relationships/hyperlink" Target="http://www.prosv.ru/umk/perspektiva/info.aspx?ob_no=32824" TargetMode="External"/><Relationship Id="rId5" Type="http://schemas.openxmlformats.org/officeDocument/2006/relationships/hyperlink" Target="http://detishki.ucoz.ru/Schitova/techn_kart/tekhnologicheskie_karty.zip" TargetMode="External"/><Relationship Id="rId10" Type="http://schemas.openxmlformats.org/officeDocument/2006/relationships/hyperlink" Target="http://detishki.ucoz.ru/Schitova/techn_kart/tekhnologicheskie_karty_ork_mir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shki.ucoz.ru/Schitova/techn_kart/tekhnologicheskie_karty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SmartTeach</dc:creator>
  <cp:keywords/>
  <dc:description/>
  <cp:lastModifiedBy>SmartTeach</cp:lastModifiedBy>
  <cp:revision>3</cp:revision>
  <dcterms:created xsi:type="dcterms:W3CDTF">2014-01-20T06:22:00Z</dcterms:created>
  <dcterms:modified xsi:type="dcterms:W3CDTF">2014-01-20T06:37:00Z</dcterms:modified>
</cp:coreProperties>
</file>