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B0" w:rsidRPr="00187CB0" w:rsidRDefault="00187CB0" w:rsidP="00187CB0">
      <w:pPr>
        <w:spacing w:after="48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Психологические особенности младших школьников </w:t>
      </w:r>
    </w:p>
    <w:p w:rsidR="00187CB0" w:rsidRDefault="00187CB0" w:rsidP="00187CB0">
      <w:pPr>
        <w:spacing w:after="48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 пост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уплении ребенка в школу меняется не только его статус, но и его восприятие окружающего мира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Чтобы преодолеть все трудности и помочь ребенку, особенно в период адаптации, к новому обществу, смене ведущего вида деятельности, необходима постоянная поддержка со стороны родителей, а она невозможна без знаний психологических особенностей младшего школьного возраста.</w:t>
      </w:r>
    </w:p>
    <w:p w:rsidR="00187CB0" w:rsidRPr="00187CB0" w:rsidRDefault="00187CB0" w:rsidP="0018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Младший школьный возраст – это возраст 6–11-летни</w:t>
      </w:r>
      <w:r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х детей, обучающихся в 1 – 3 (4</w:t>
      </w: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) классах начальной школы. Границы возраста и его психологические характеристики определяются принятой на данный временной отрезок системой образования, теорией психического развития, психологической возрастной периодизацией.</w:t>
      </w:r>
    </w:p>
    <w:p w:rsidR="00187CB0" w:rsidRPr="00187CB0" w:rsidRDefault="00187CB0" w:rsidP="0018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Начало школьного обучения означает переход от игровой деятельности к учебной как ведущей деятельности младшего школьного возраста, в которой формируются основные психические новообразования.</w:t>
      </w:r>
    </w:p>
    <w:p w:rsidR="00187CB0" w:rsidRPr="00187CB0" w:rsidRDefault="00187CB0" w:rsidP="0018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С поступления ребёнка в школу устанавливается новая социальная ситуация развития. Центром социальной ситуации развития становится учитель. В младшем школьном возрасте учебная деятельность становится ведущей. Учебная деятельность – особая форма активности ученика, направленная на изменение самого себя как субъекта учения. Доминирующей функцией в младшем школьном возрасте становится мышление. Завершается наметившийся в дошкольном возрасте переход от наглядно-образного к словесно-логическому мышлению</w:t>
      </w:r>
      <w:proofErr w:type="gramStart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.</w:t>
      </w:r>
      <w:proofErr w:type="gramEnd"/>
    </w:p>
    <w:p w:rsidR="00187CB0" w:rsidRPr="00187CB0" w:rsidRDefault="00187CB0" w:rsidP="0018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Школьное обучение строится таким образом, что словесно-логическое мышление получает преимущественное развитие. Если в первые два года обучения дети много работают с наглядными образцами, то в следующих классах объем таких занятий сокращается. Образное мышление все меньше и меньше оказывается необходимым в учебной деятельности.</w:t>
      </w:r>
    </w:p>
    <w:p w:rsidR="00187CB0" w:rsidRPr="00187CB0" w:rsidRDefault="00187CB0" w:rsidP="0018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В конце младшего школьного возраста (и позже) проявляются индивидуальные различия: среди детей. Психологами выделяются группы "теоретиков" или "мыслителей", которые легко решают учебные задачи в словесном плане, "практиков", которым нужна опора на наглядность и практические действия, и "художников" с ярким образным мышлением. У большинства детей наблюдается относительное равновесие между разными видами мышления.</w:t>
      </w:r>
    </w:p>
    <w:p w:rsidR="00187CB0" w:rsidRPr="00187CB0" w:rsidRDefault="00187CB0" w:rsidP="0018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Важным условием для формирования теоретического мышления является формирование научных понятий. Теоретическое мышление позволяет ученику решать задачи, ориентируясь не на внешние, наглядные признаки и связи объектов, а на внутренние, существенные свойства и отношения.</w:t>
      </w:r>
    </w:p>
    <w:p w:rsidR="00187CB0" w:rsidRPr="00187CB0" w:rsidRDefault="00187CB0" w:rsidP="0018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В начале младшего школьного возраста восприятие недостаточно дифференцированно. Из-за этого ребёнок "иногда путает похожие по </w:t>
      </w:r>
      <w:proofErr w:type="spellStart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написавию</w:t>
      </w:r>
      <w:proofErr w:type="spellEnd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буквы и цифры (например, 9 и 6 или буквы Я и R</w:t>
      </w:r>
      <w:proofErr w:type="gramStart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)</w:t>
      </w:r>
      <w:proofErr w:type="gramEnd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. Хотя он может целенаправленно рассматривать предметы и рисунки, им выделяются, </w:t>
      </w: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lastRenderedPageBreak/>
        <w:t>так же как и в дошкольном возрасте, наиболее яркие, "бросающиеся в глаза" свойства – в основном, цвет, форма и величина.</w:t>
      </w:r>
    </w:p>
    <w:p w:rsidR="00187CB0" w:rsidRPr="00187CB0" w:rsidRDefault="00187CB0" w:rsidP="0018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Если для дошкольников было характерно анализирующее восприятие, то к концу младшего школьного возраста, при соответствующем обучении, появляется синтезирующее восприятие. Развивающийся интеллект создает возможность устанавливать связи между элементами </w:t>
      </w:r>
      <w:proofErr w:type="gramStart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воспринимаемого</w:t>
      </w:r>
      <w:proofErr w:type="gramEnd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. Это легко прослеживается при описании детьми картины. Эти особенности необходимо учитывать при общении с ребёнком и его развитии.</w:t>
      </w:r>
    </w:p>
    <w:p w:rsidR="00187CB0" w:rsidRPr="00187CB0" w:rsidRDefault="00187CB0" w:rsidP="0018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Возрастные стадии восприятия:</w:t>
      </w:r>
    </w:p>
    <w:p w:rsidR="00187CB0" w:rsidRPr="00187CB0" w:rsidRDefault="00187CB0" w:rsidP="0018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2-5 лет - стадия перечисления предметов на картине;</w:t>
      </w:r>
    </w:p>
    <w:p w:rsidR="00187CB0" w:rsidRPr="00187CB0" w:rsidRDefault="00187CB0" w:rsidP="0018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6-9 лет - описание картины;</w:t>
      </w:r>
    </w:p>
    <w:p w:rsidR="00187CB0" w:rsidRPr="00187CB0" w:rsidRDefault="00187CB0" w:rsidP="0018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после 9 лет - интерпретация </w:t>
      </w:r>
      <w:proofErr w:type="gramStart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увиденного</w:t>
      </w:r>
      <w:proofErr w:type="gramEnd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.</w:t>
      </w:r>
    </w:p>
    <w:p w:rsidR="00187CB0" w:rsidRPr="00187CB0" w:rsidRDefault="00187CB0" w:rsidP="0018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Память в младшем школьном возрасте развивается в двух направлениях – произвольности и осмысленности. Дети непроизвольно запоминают учебный материал, вызывающий у них интерес, преподнесенный в игровой форме, связанный с яркими наглядными пособиями и т.д. Но, в отличие от дошкольников, они способны целенаправленно, произвольно запоминать материал, им не слишком интересный. С каждым годом все в большей мере обучение строится с опорой на произвольную память. Младшие школьники так же, как и дошкольники, обычно обладают хорошей механической памятью. Многие из них на протяжении всего обучения в начальной школе механически заучивают учебные тексты, что чаще всего приводит к значительным трудностям в средней школе, когда материал становится сложнее и больше по объему, а для решения учебных задач требуется не только умение воспроизвести материал. Совершенствование смысловой памяти в этом возрасте даст возможность освоить достаточно широкий круг мнемонических приемов, т.е. рациональных способов запоминания (деление текста на части, составление плана и др.).</w:t>
      </w:r>
    </w:p>
    <w:p w:rsidR="00187CB0" w:rsidRPr="00187CB0" w:rsidRDefault="00187CB0" w:rsidP="0018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Именно в младшем школьном возрасте развивается внимание. Без </w:t>
      </w:r>
      <w:proofErr w:type="spellStart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сформированности</w:t>
      </w:r>
      <w:proofErr w:type="spellEnd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этой психической функции процесс обучения невозможен. На уроке учитель привлекает внимание учеников к учебному материалу, удерживает его длительное время. Младший школьник может сосредоточено заниматься одним делом 10-20 минут. В 2 раза увеличивается объём внимания, повышается его устойчивость, переключение и распределение.</w:t>
      </w:r>
    </w:p>
    <w:p w:rsidR="00187CB0" w:rsidRPr="00187CB0" w:rsidRDefault="00187CB0" w:rsidP="0018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Мотивы обучения</w:t>
      </w:r>
    </w:p>
    <w:p w:rsidR="00187CB0" w:rsidRPr="00187CB0" w:rsidRDefault="00187CB0" w:rsidP="0018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Среди разнообразных социальных мотивов учения главное место у младших школьников занимает мотив получения высоких отметок. Высокие отметки для маленького ученика – источник других поощрений, залог его эмоционального благополучия, предмет гордости.</w:t>
      </w:r>
    </w:p>
    <w:p w:rsidR="00187CB0" w:rsidRPr="00187CB0" w:rsidRDefault="00187CB0" w:rsidP="0018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Помимо этого есть и другие мотивы:</w:t>
      </w:r>
    </w:p>
    <w:p w:rsidR="00187CB0" w:rsidRPr="00187CB0" w:rsidRDefault="00187CB0" w:rsidP="0018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Внутренние мотивы:</w:t>
      </w:r>
    </w:p>
    <w:p w:rsidR="00187CB0" w:rsidRPr="00187CB0" w:rsidRDefault="00187CB0" w:rsidP="0018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1) Познавательные мотивы – те мотивы, которые связаны с содержательными или структурными характеристиками самой учебной </w:t>
      </w: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lastRenderedPageBreak/>
        <w:t>деятельности: стремление получать знания; стремление овладеть способами самостоятельного приобретения знаний;</w:t>
      </w:r>
    </w:p>
    <w:p w:rsidR="00187CB0" w:rsidRPr="00187CB0" w:rsidRDefault="00187CB0" w:rsidP="0018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2) Социальные мотивы – мотивы, связанные с факторами, влияющими на мотивы учения, но не связанные с учебной деятельностью: стремление быть грамотным человеком, быть полезным обществу; стремление получить одобрение старших товарищей, добиться успеха, престижа; стремление овладеть способами взаимодействия с окружающими людьми, одноклассниками. Мотивация достижения в начальных классах нередко становится доминирующей. У детей с высокой успеваемостью ярко выражена мотивация достижения успеха – желание хорошо, правильно выполнить задание, получить нужный результат. Мотивация избегания неудачи. Дети стараются избежать "двойки" и тех последствий, которые влечет за собой низкая отметка, - недовольства учителя, санкций родителей (будут ругать, запретят гулять, смотреть телевизор и т.д.).</w:t>
      </w:r>
    </w:p>
    <w:p w:rsidR="00187CB0" w:rsidRPr="00187CB0" w:rsidRDefault="00187CB0" w:rsidP="0018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Внешние мотивы - учиться на хорошие отметки, за материальное вознаграждение, т.е. главное </w:t>
      </w:r>
      <w:proofErr w:type="gramStart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не получение</w:t>
      </w:r>
      <w:proofErr w:type="gramEnd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знаний, а какая-то награда.</w:t>
      </w:r>
    </w:p>
    <w:p w:rsidR="00187CB0" w:rsidRPr="00187CB0" w:rsidRDefault="00187CB0" w:rsidP="0018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От оценки зависит развитие учебной мотивации, именно на этой почве в отдельных случаях возникают тяжелые переживания и </w:t>
      </w:r>
      <w:proofErr w:type="gramStart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школьная</w:t>
      </w:r>
      <w:proofErr w:type="gramEnd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</w:t>
      </w:r>
      <w:proofErr w:type="spellStart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дезадаптация</w:t>
      </w:r>
      <w:proofErr w:type="spellEnd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. Непосредственно влияет школьная оценка и на становление самооценки</w:t>
      </w:r>
      <w:proofErr w:type="gramStart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.</w:t>
      </w:r>
      <w:proofErr w:type="gramEnd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Дети, ориентируясь на оценку учителя, сами считают себя и своих сверстников отличниками, "двоечниками" и "троечниками", хорошими и средними учениками, наделяя представителей каждой группы набором соответствующих качеств. Оценка успеваемости в начале школьного </w:t>
      </w:r>
      <w:proofErr w:type="gramStart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обучения, по существу</w:t>
      </w:r>
      <w:proofErr w:type="gramEnd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, является оценкой личности в целом и определяет социальный статус ребенка.</w:t>
      </w:r>
    </w:p>
    <w:p w:rsidR="00187CB0" w:rsidRPr="00187CB0" w:rsidRDefault="00187CB0" w:rsidP="0018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У отличников и некоторых хорошо успевающих детей складывается завышенная самооценка. У неуспевающих и крайне слабых учеников систематические неудачи и низкие оценки снижают их уверенность в себе, в своих возможностях. Полноценное развитие личности предполагает формирование чувства компетентности, которое Э. </w:t>
      </w:r>
      <w:proofErr w:type="spellStart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Эриксон</w:t>
      </w:r>
      <w:proofErr w:type="spellEnd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считает главным новообразованием данного возраста. Учебная деятельность – основная деятельность для младшего школьника, и если в ней ребёнок не чувствует себя компетентным, его личностное развитие искажается.</w:t>
      </w:r>
    </w:p>
    <w:p w:rsidR="00187CB0" w:rsidRPr="00187CB0" w:rsidRDefault="00187CB0" w:rsidP="0018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Группы риска</w:t>
      </w:r>
    </w:p>
    <w:p w:rsidR="00187CB0" w:rsidRPr="00187CB0" w:rsidRDefault="00187CB0" w:rsidP="0018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Особое внимание всегда требуется детям «группы риска», а это следующие категории:</w:t>
      </w:r>
    </w:p>
    <w:p w:rsidR="00187CB0" w:rsidRPr="00187CB0" w:rsidRDefault="00187CB0" w:rsidP="0018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Дети с синдромом дефицита внимания (</w:t>
      </w:r>
      <w:proofErr w:type="spellStart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гиперактивные</w:t>
      </w:r>
      <w:proofErr w:type="spellEnd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): чрезмерная активность, суетливость, невозможность сосредоточить внимание. У мальчиков встречается чаще, чем у девочек. </w:t>
      </w:r>
      <w:proofErr w:type="spellStart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Гиперактивность</w:t>
      </w:r>
      <w:proofErr w:type="spellEnd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- целый комплекс нарушений. Необходимо формировать произвольное внимание. Учебные занятия необходимо строить по строгому графику. Игнорировать вызывающие поступки и обращать внимания на хорошие поступки. Обеспечивать двигательную разрядку.</w:t>
      </w:r>
    </w:p>
    <w:p w:rsidR="00187CB0" w:rsidRPr="00187CB0" w:rsidRDefault="00187CB0" w:rsidP="0018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proofErr w:type="spellStart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Леворукий</w:t>
      </w:r>
      <w:proofErr w:type="spellEnd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ребёнок (10% людей). Сниженная способность зрительно-двигательных координаций. Дети плохо срисовывают изображения, имеют </w:t>
      </w: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lastRenderedPageBreak/>
        <w:t xml:space="preserve">плохой почерк, не могут держать строчку. Искажение формы, зеркальность письма. Пропуск и перестановка букв при письме. Ошибки при определении "право" и "лево". Особая стратегия переработки информации. Эмоциональная неустойчивость, обидчивость, тревожность, сниженная работоспособность. Для адаптации необходимы особые условия: </w:t>
      </w:r>
      <w:proofErr w:type="spellStart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правонаклонный</w:t>
      </w:r>
      <w:proofErr w:type="spellEnd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разворот в тетради, не требовать безотрывного письма, рекомендуется сажать у окна, слева за партой.</w:t>
      </w:r>
    </w:p>
    <w:p w:rsidR="00187CB0" w:rsidRPr="00187CB0" w:rsidRDefault="00187CB0" w:rsidP="0018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Нарушения эмоционально-волевой сферы. Это агрессивные дети, эмоционально расторможенные, застенчивые, тревожные, ранимые.</w:t>
      </w:r>
    </w:p>
    <w:p w:rsidR="00187CB0" w:rsidRPr="00187CB0" w:rsidRDefault="00187CB0" w:rsidP="0018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Всё это необходимо учитывать не только учителю на уроке, но в первую очередь – дома, самым близким ребёнку людям, от которых в большой степени зависит, как ребёнок будет реагировать на возможные школьные неудачи и какие уроки он из них вынесет.</w:t>
      </w:r>
    </w:p>
    <w:p w:rsidR="00187CB0" w:rsidRPr="00187CB0" w:rsidRDefault="00187CB0" w:rsidP="00187CB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     Младший школьный возраст – это возраст 6–11-летних детей, обучающихся в 1 – 3 (4</w:t>
      </w:r>
      <w:proofErr w:type="gramStart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)</w:t>
      </w:r>
      <w:proofErr w:type="gramEnd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классах начальной школы. Границы возраста и его психологические характеристики определяются принятой на данный временной отрезок системой образования, теорией психического развития, психологической возрастной периодизацией. </w:t>
      </w: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br/>
        <w:t>     Начало школьного обучения означает переход от игровой деятельности к учебной как ведущей деятельности младшего школьного возраста, в которой формируются основные психические новообразования.</w:t>
      </w: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br/>
        <w:t>     С поступления ребёнка в школу устанавливается новая социальная ситуация развития. Центром социальной ситуации развития становится учитель. В младшем школьном возрасте учебная деятельность становится ведущей. Учебная деятельность – особая форма активности ученика, направленная на изменение самого себя как субъекта учения. Доминирующей функцией в младшем школьном возрасте становится мышление. Завершается наметившийся в дошкольном возрасте переход от наглядно-образного к словесно-логическому мышлению</w:t>
      </w:r>
      <w:proofErr w:type="gramStart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.</w:t>
      </w:r>
      <w:proofErr w:type="gramEnd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br/>
        <w:t>     Школьное обучение строится таким образом, что словесно-логическое мышление получает преимущественное развитие. Если в первые два года обучения дети много работают с наглядными образцами, то в следующих классах объем таких занятий сокращается. Образное мышление все меньше и меньше оказывается необходимым в учебной деятельности.</w:t>
      </w: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br/>
        <w:t>     В конце младшего школьного возраста (и позже) проявляются индивидуальные различия: среди детей. Психологами выделяются группы "теоретиков" или "мыслителей", которые легко решают учебные задачи в словесном плане, "практиков", которым нужна опора на наглядность и практические действия, и "художников" с ярким образным мышлением. У большинства детей наблюдается относительное равновесие между разными видами мышления.</w:t>
      </w: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br/>
        <w:t xml:space="preserve">     Важным условием для формирования теоретического мышления является формирование научных понятий. Теоретическое мышление позволяет ученику решать задачи, ориентируясь не на внешние, наглядные признаки и </w:t>
      </w: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lastRenderedPageBreak/>
        <w:t>связи объектов, а на внутренние, существенные свойства и отношения.</w:t>
      </w: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br/>
        <w:t xml:space="preserve">     В начале младшего школьного возраста восприятие недостаточно дифференцированно. Из-за этого ребёнок "иногда путает похожие по </w:t>
      </w:r>
      <w:proofErr w:type="spellStart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написавию</w:t>
      </w:r>
      <w:proofErr w:type="spellEnd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буквы и цифры (например, 9 и 6 или буквы Я и R</w:t>
      </w:r>
      <w:proofErr w:type="gramStart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)</w:t>
      </w:r>
      <w:proofErr w:type="gramEnd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. Хотя он может целенаправленно рассматривать предметы и рисунки, им выделяются, так же как и в дошкольном возрасте, наиболее яркие, "бросающиеся в глаза" свойства – в основном, цвет, форма и величина.</w:t>
      </w: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br/>
        <w:t xml:space="preserve">     Если для дошкольников было характерно анализирующее восприятие, то к концу младшего школьного возраста, при соответствующем обучении, появляется синтезирующее восприятие. Развивающийся интеллект создает возможность устанавливать связи между элементами </w:t>
      </w:r>
      <w:proofErr w:type="gramStart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воспринимаемого</w:t>
      </w:r>
      <w:proofErr w:type="gramEnd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. Это легко прослеживается при описании детьми картины. Эти особенности необходимо учитывать при общении с ребёнком и его развитии.</w:t>
      </w: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br/>
        <w:t>     Возрастные стадии восприятия: </w:t>
      </w:r>
    </w:p>
    <w:p w:rsidR="00187CB0" w:rsidRPr="00187CB0" w:rsidRDefault="00187CB0" w:rsidP="00187CB0">
      <w:pPr>
        <w:numPr>
          <w:ilvl w:val="0"/>
          <w:numId w:val="1"/>
        </w:numPr>
        <w:spacing w:before="48" w:after="48" w:line="240" w:lineRule="auto"/>
        <w:ind w:left="533" w:firstLine="709"/>
        <w:jc w:val="both"/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  <w:t xml:space="preserve">2-5 лет - стадия перечисления предметов на картине; </w:t>
      </w:r>
    </w:p>
    <w:p w:rsidR="00187CB0" w:rsidRPr="00187CB0" w:rsidRDefault="00187CB0" w:rsidP="00187CB0">
      <w:pPr>
        <w:numPr>
          <w:ilvl w:val="0"/>
          <w:numId w:val="1"/>
        </w:numPr>
        <w:spacing w:before="48" w:after="48" w:line="240" w:lineRule="auto"/>
        <w:ind w:left="533" w:firstLine="709"/>
        <w:jc w:val="both"/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  <w:t xml:space="preserve">6-9 лет - описание картины;  </w:t>
      </w:r>
    </w:p>
    <w:p w:rsidR="00187CB0" w:rsidRPr="00187CB0" w:rsidRDefault="00187CB0" w:rsidP="00187CB0">
      <w:pPr>
        <w:numPr>
          <w:ilvl w:val="0"/>
          <w:numId w:val="1"/>
        </w:numPr>
        <w:spacing w:before="48" w:after="48" w:line="240" w:lineRule="auto"/>
        <w:ind w:left="533" w:firstLine="709"/>
        <w:jc w:val="both"/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  <w:t xml:space="preserve">после 9 лет - интерпретация </w:t>
      </w:r>
      <w:proofErr w:type="gramStart"/>
      <w:r w:rsidRPr="00187CB0"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  <w:t>увиденного</w:t>
      </w:r>
      <w:proofErr w:type="gramEnd"/>
      <w:r w:rsidRPr="00187CB0"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  <w:t xml:space="preserve">. </w:t>
      </w:r>
    </w:p>
    <w:p w:rsidR="00187CB0" w:rsidRPr="00187CB0" w:rsidRDefault="00187CB0" w:rsidP="00187CB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     Память в младшем школьном возрасте развивается в двух направлениях – произвольности и осмысленности. Дети непроизвольно запоминают учебный материал, вызывающий у них интерес, преподнесенный в игровой форме, связанный с яркими наглядными пособиями и т.д. Но, в отличие от дошкольников, они способны целенаправленно, произвольно запоминать материал, им не слишком интересный. С каждым годом все в большей мере обучение строится с опорой на произвольную память. Младшие школьники так же, как и дошкольники, обычно обладают хорошей механической памятью. Многие из них на протяжении всего обучения в начальной школе механически заучивают учебные тексты, что чаще всего приводит к значительным трудностям в средней школе, когда материал становится сложнее и больше по объему, а для решения учебных задач требуется не только умение воспроизвести материал. Совершенствование смысловой памяти в этом возрасте даст возможность освоить достаточно широкий круг мнемонических приемов, т.е. рациональных способов запоминания (деление текста на части, составление плана и др.).</w:t>
      </w: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br/>
        <w:t xml:space="preserve">     Именно в младшем школьном возрасте развивается внимание. Без </w:t>
      </w:r>
      <w:proofErr w:type="spellStart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сформированности</w:t>
      </w:r>
      <w:proofErr w:type="spellEnd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этой психической функции процесс обучения невозможен. На уроке учитель привлекает внимание учеников к учебному материалу, удерживает его длительное время. Младший школьник может сосредоточено заниматься одним делом 10-20 минут. В 2 раза увеличивается объём внимания, повышается его устойчивость, переключение и распределение.</w:t>
      </w:r>
    </w:p>
    <w:p w:rsidR="00187CB0" w:rsidRPr="00187CB0" w:rsidRDefault="00187CB0" w:rsidP="00187CB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br/>
      </w:r>
      <w:r w:rsidRPr="00187CB0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Мотивы обучения</w:t>
      </w:r>
    </w:p>
    <w:p w:rsidR="00187CB0" w:rsidRPr="00187CB0" w:rsidRDefault="00187CB0" w:rsidP="00187CB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lastRenderedPageBreak/>
        <w:t> </w:t>
      </w: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     Среди разнообразных социальных мотивов учения главное место у младших школьников занимает мотив получения высоких отметок. Высокие отметки для маленького ученика – источник других поощрений, залог его эмоционального благополучия, предмет гордости.</w:t>
      </w:r>
    </w:p>
    <w:p w:rsidR="00187CB0" w:rsidRPr="00187CB0" w:rsidRDefault="00187CB0" w:rsidP="00187CB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Помимо этого есть и другие мотивы:</w:t>
      </w:r>
    </w:p>
    <w:p w:rsidR="00187CB0" w:rsidRPr="00187CB0" w:rsidRDefault="00187CB0" w:rsidP="0018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Внутренние мотивы:</w:t>
      </w: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br/>
        <w:t>1) Познавательные мотивы – те мотивы, которые связаны с содержательными или структурными характеристиками самой учебной деятельности: стремление получать знания; стремление овладеть способами самостоятельного приобретения знаний; </w:t>
      </w: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br/>
        <w:t>2) Социальные мотивы – мотивы, связанные с факторами, влияющими на мотивы учения, но не связанные с учебной деятельностью: стремление быть грамотным человеком, быть полезным обществу; стремление получить одобрение старших товарищей, добиться успеха, престижа; стремление овладеть способами взаимодействия с окружающими людьми, одноклассниками. Мотивация достижения в начальных классах нередко становится доминирующей. У детей с высокой успеваемостью ярко выражена мотивация достижения успеха – желание хорошо, правильно выполнить задание, получить нужный результат. Мотивация избегания неудачи. Дети стараются избежать "двойки" и тех последствий, которые влечет за собой низкая отметка, - недовольства учителя, санкций родителей (будут ругать, запретят гулять, смотреть телевизор и т.д.).</w:t>
      </w:r>
    </w:p>
    <w:p w:rsidR="00187CB0" w:rsidRPr="00187CB0" w:rsidRDefault="00187CB0" w:rsidP="0018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Внешние мотивы - учиться на хорошие отметки, за материальное вознаграждение, т.е. главное </w:t>
      </w:r>
      <w:proofErr w:type="gramStart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не получение</w:t>
      </w:r>
      <w:proofErr w:type="gramEnd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знаний, а какая-то награда.</w:t>
      </w:r>
    </w:p>
    <w:p w:rsidR="00187CB0" w:rsidRPr="00187CB0" w:rsidRDefault="00187CB0" w:rsidP="0018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 </w:t>
      </w: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br/>
        <w:t xml:space="preserve">     От оценки зависит развитие учебной мотивации, именно на этой почве в отдельных случаях возникают тяжелые переживания и </w:t>
      </w:r>
      <w:proofErr w:type="gramStart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школьная</w:t>
      </w:r>
      <w:proofErr w:type="gramEnd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</w:t>
      </w:r>
      <w:proofErr w:type="spellStart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дезадаптация</w:t>
      </w:r>
      <w:proofErr w:type="spellEnd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. Непосредственно влияет школьная оценка и на становление самооценки</w:t>
      </w:r>
      <w:proofErr w:type="gramStart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.</w:t>
      </w:r>
      <w:proofErr w:type="gramEnd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Дети, ориентируясь на оценку учителя, сами считают себя и своих сверстников отличниками, "двоечниками" и "троечниками", хорошими и средними учениками, наделяя представителей каждой группы набором соответствующих качеств. Оценка успеваемости в начале школьного </w:t>
      </w:r>
      <w:proofErr w:type="gramStart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обучения, по существу</w:t>
      </w:r>
      <w:proofErr w:type="gramEnd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, является оценкой личности в целом и определяет социальный статус ребенка.</w:t>
      </w: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br/>
        <w:t xml:space="preserve">     У отличников и некоторых хорошо успевающих детей складывается завышенная самооценка. У неуспевающих и крайне слабых учеников систематические неудачи и низкие оценки снижают их уверенность в себе, в своих возможностях. Полноценное развитие личности предполагает формирование чувства компетентности, которое Э. </w:t>
      </w:r>
      <w:proofErr w:type="spellStart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Эриксон</w:t>
      </w:r>
      <w:proofErr w:type="spellEnd"/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считает главным новообразованием данного возраста. Учебная деятельность – основная деятельность для младшего школьника, и если в ней ребёнок не чувствует себя компетентным, его личностное развитие искажается.</w:t>
      </w:r>
    </w:p>
    <w:p w:rsidR="00187CB0" w:rsidRPr="00187CB0" w:rsidRDefault="00187CB0" w:rsidP="0018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lastRenderedPageBreak/>
        <w:br/>
      </w:r>
      <w:r w:rsidRPr="00187CB0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Группы риска</w:t>
      </w:r>
    </w:p>
    <w:p w:rsidR="00187CB0" w:rsidRPr="00187CB0" w:rsidRDefault="00187CB0" w:rsidP="0018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 </w:t>
      </w: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br/>
        <w:t>Особое внимание всегда требуется детям «группы риска», а это следующие категории:</w:t>
      </w:r>
    </w:p>
    <w:p w:rsidR="00187CB0" w:rsidRPr="00187CB0" w:rsidRDefault="00187CB0" w:rsidP="00187CB0">
      <w:pPr>
        <w:numPr>
          <w:ilvl w:val="0"/>
          <w:numId w:val="2"/>
        </w:numPr>
        <w:spacing w:before="48" w:after="48" w:line="240" w:lineRule="auto"/>
        <w:ind w:left="533" w:firstLine="709"/>
        <w:jc w:val="both"/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  <w:t>Дети с синдромом дефицита внимания (</w:t>
      </w:r>
      <w:proofErr w:type="spellStart"/>
      <w:r w:rsidRPr="00187CB0"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  <w:t>гиперактивные</w:t>
      </w:r>
      <w:proofErr w:type="spellEnd"/>
      <w:r w:rsidRPr="00187CB0"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  <w:t xml:space="preserve">): чрезмерная активность, суетливость, невозможность сосредоточить внимание. У мальчиков встречается чаще, чем у девочек. </w:t>
      </w:r>
      <w:proofErr w:type="spellStart"/>
      <w:r w:rsidRPr="00187CB0"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  <w:t>Гиперактивность</w:t>
      </w:r>
      <w:proofErr w:type="spellEnd"/>
      <w:r w:rsidRPr="00187CB0"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  <w:t xml:space="preserve"> - целый комплекс нарушений. Необходимо формировать произвольное внимание. Учебные занятия необходимо строить по строгому графику. Игнорировать вызывающие поступки и обращать внимания на хорошие поступки. Обеспечивать двигательную разрядку. </w:t>
      </w:r>
    </w:p>
    <w:p w:rsidR="00187CB0" w:rsidRPr="00187CB0" w:rsidRDefault="00187CB0" w:rsidP="00187CB0">
      <w:pPr>
        <w:numPr>
          <w:ilvl w:val="0"/>
          <w:numId w:val="2"/>
        </w:numPr>
        <w:spacing w:before="48" w:after="48" w:line="240" w:lineRule="auto"/>
        <w:ind w:left="533" w:firstLine="709"/>
        <w:jc w:val="both"/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</w:pPr>
      <w:proofErr w:type="spellStart"/>
      <w:r w:rsidRPr="00187CB0"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  <w:t>Леворукий</w:t>
      </w:r>
      <w:proofErr w:type="spellEnd"/>
      <w:r w:rsidRPr="00187CB0"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  <w:t xml:space="preserve"> ребёнок (10% людей). Сниженная способность зрительно-двигательных координаций. Дети плохо срисовывают изображения, имеют плохой почерк, не могут держать строчку. Искажение формы, зеркальность письма. Пропуск и перестановка букв при письме. Ошибки при определении "право" и "лево". Особая стратегия переработки информации. Эмоциональная неустойчивость, обидчивость, тревожность, сниженная работоспособность. Для адаптации необходимы особые условия: </w:t>
      </w:r>
      <w:proofErr w:type="spellStart"/>
      <w:r w:rsidRPr="00187CB0"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  <w:t>правонаклонный</w:t>
      </w:r>
      <w:proofErr w:type="spellEnd"/>
      <w:r w:rsidRPr="00187CB0"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  <w:t xml:space="preserve"> разворот в тетради, не требовать безотрывного письма, рекомендуется сажать у окна, слева за партой. </w:t>
      </w:r>
    </w:p>
    <w:p w:rsidR="00187CB0" w:rsidRPr="00187CB0" w:rsidRDefault="00187CB0" w:rsidP="00187CB0">
      <w:pPr>
        <w:numPr>
          <w:ilvl w:val="0"/>
          <w:numId w:val="2"/>
        </w:numPr>
        <w:spacing w:before="48" w:after="48" w:line="240" w:lineRule="auto"/>
        <w:ind w:left="533" w:firstLine="709"/>
        <w:jc w:val="both"/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3F4040"/>
          <w:sz w:val="28"/>
          <w:szCs w:val="28"/>
          <w:lang w:eastAsia="ru-RU"/>
        </w:rPr>
        <w:t xml:space="preserve">Нарушения эмоционально-волевой сферы. Это агрессивные дети, эмоционально расторможенные, застенчивые, тревожные, ранимые. </w:t>
      </w:r>
    </w:p>
    <w:p w:rsidR="00187CB0" w:rsidRPr="00187CB0" w:rsidRDefault="00187CB0" w:rsidP="0018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     Всё это необходимо учитывать не только учителю на уроке, но в первую очередь – дома, самым близким ребёнку людям, от которых в большой степени зависит, как ребёнок будет реагировать на возможные школьные неудачи и какие уроки он из них вынесет.</w:t>
      </w:r>
    </w:p>
    <w:p w:rsidR="00187CB0" w:rsidRPr="00187CB0" w:rsidRDefault="00187CB0" w:rsidP="00187CB0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</w:pPr>
      <w:r w:rsidRPr="00187CB0">
        <w:rPr>
          <w:rFonts w:ascii="Times New Roman" w:eastAsia="Times New Roman" w:hAnsi="Times New Roman" w:cs="Times New Roman"/>
          <w:vanish/>
          <w:color w:val="282929"/>
          <w:sz w:val="28"/>
          <w:szCs w:val="28"/>
          <w:lang w:eastAsia="ru-RU"/>
        </w:rPr>
        <w:t> </w:t>
      </w:r>
      <w:r w:rsidRPr="00187CB0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 xml:space="preserve"> </w:t>
      </w:r>
    </w:p>
    <w:p w:rsidR="0081146A" w:rsidRPr="00187CB0" w:rsidRDefault="0081146A" w:rsidP="00187CB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1146A" w:rsidRPr="00187CB0" w:rsidSect="0081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70467"/>
    <w:multiLevelType w:val="multilevel"/>
    <w:tmpl w:val="A408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E66FFE"/>
    <w:multiLevelType w:val="multilevel"/>
    <w:tmpl w:val="4622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87CB0"/>
    <w:rsid w:val="00187CB0"/>
    <w:rsid w:val="0081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6A"/>
  </w:style>
  <w:style w:type="paragraph" w:styleId="2">
    <w:name w:val="heading 2"/>
    <w:basedOn w:val="a"/>
    <w:link w:val="20"/>
    <w:uiPriority w:val="9"/>
    <w:qFormat/>
    <w:rsid w:val="00187CB0"/>
    <w:pPr>
      <w:spacing w:before="100" w:beforeAutospacing="1" w:after="100" w:afterAutospacing="1" w:line="240" w:lineRule="auto"/>
      <w:outlineLvl w:val="1"/>
    </w:pPr>
    <w:rPr>
      <w:rFonts w:ascii="Lucida Sans Unicode" w:eastAsia="Times New Roman" w:hAnsi="Lucida Sans Unicode" w:cs="Lucida Sans Unicode"/>
      <w:b/>
      <w:bCs/>
      <w:color w:val="AF0412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7CB0"/>
    <w:rPr>
      <w:rFonts w:ascii="Lucida Sans Unicode" w:eastAsia="Times New Roman" w:hAnsi="Lucida Sans Unicode" w:cs="Lucida Sans Unicode"/>
      <w:b/>
      <w:bCs/>
      <w:color w:val="AF0412"/>
      <w:sz w:val="18"/>
      <w:szCs w:val="18"/>
      <w:lang w:eastAsia="ru-RU"/>
    </w:rPr>
  </w:style>
  <w:style w:type="paragraph" w:styleId="a3">
    <w:name w:val="Normal (Web)"/>
    <w:basedOn w:val="a"/>
    <w:uiPriority w:val="99"/>
    <w:semiHidden/>
    <w:unhideWhenUsed/>
    <w:rsid w:val="0018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187CB0"/>
    <w:rPr>
      <w:vanish/>
      <w:webHidden w:val="0"/>
      <w:specVanish w:val="0"/>
    </w:rPr>
  </w:style>
  <w:style w:type="character" w:styleId="a4">
    <w:name w:val="Strong"/>
    <w:basedOn w:val="a0"/>
    <w:uiPriority w:val="22"/>
    <w:qFormat/>
    <w:rsid w:val="00187C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9322">
                      <w:marLeft w:val="0"/>
                      <w:marRight w:val="0"/>
                      <w:marTop w:val="75"/>
                      <w:marBottom w:val="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9764">
                              <w:marLeft w:val="53"/>
                              <w:marRight w:val="53"/>
                              <w:marTop w:val="53"/>
                              <w:marBottom w:val="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70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83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73790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27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82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76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72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53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27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03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42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73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04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176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32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55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04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70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15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76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13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99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94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30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34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53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78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056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45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55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617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20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14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39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472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6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4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82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2597</Words>
  <Characters>14804</Characters>
  <Application>Microsoft Office Word</Application>
  <DocSecurity>0</DocSecurity>
  <Lines>123</Lines>
  <Paragraphs>34</Paragraphs>
  <ScaleCrop>false</ScaleCrop>
  <Company/>
  <LinksUpToDate>false</LinksUpToDate>
  <CharactersWithSpaces>17367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2014-12-03T23:08:00Z</dcterms:created>
  <dcterms:modified xsi:type="dcterms:W3CDTF">2014-12-03T23:17:00Z</dcterms:modified>
</cp:coreProperties>
</file>