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1" w:rsidRPr="00860849" w:rsidRDefault="00D32721" w:rsidP="0086084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0849">
        <w:rPr>
          <w:rFonts w:ascii="Times New Roman" w:hAnsi="Times New Roman" w:cs="Times New Roman"/>
          <w:b/>
          <w:color w:val="C00000"/>
          <w:sz w:val="24"/>
          <w:szCs w:val="24"/>
        </w:rPr>
        <w:t>Результаты участия учащихся в предметных олимпиадах, конкурсах</w:t>
      </w:r>
    </w:p>
    <w:p w:rsidR="00D32721" w:rsidRPr="00860849" w:rsidRDefault="00D32721" w:rsidP="0086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1768"/>
        <w:gridCol w:w="2939"/>
        <w:gridCol w:w="1991"/>
        <w:gridCol w:w="2873"/>
      </w:tblGrid>
      <w:tr w:rsidR="00D32721" w:rsidRPr="00860849" w:rsidTr="00860849">
        <w:tc>
          <w:tcPr>
            <w:tcW w:w="1768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2721" w:rsidRPr="00860849" w:rsidTr="00860849">
        <w:tc>
          <w:tcPr>
            <w:tcW w:w="1768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2008 - 2009</w:t>
            </w: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2721" w:rsidRPr="00860849" w:rsidTr="00860849">
        <w:tc>
          <w:tcPr>
            <w:tcW w:w="1768" w:type="dxa"/>
            <w:vMerge w:val="restart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2009 - 2010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заочная физико – математическая олимпиада «Авангард»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21" w:rsidRPr="00860849" w:rsidTr="00860849">
        <w:tc>
          <w:tcPr>
            <w:tcW w:w="1768" w:type="dxa"/>
            <w:vMerge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Заочный конкурс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«Познание и творчество «В царстве математики», «Окружающий мир»</w:t>
            </w:r>
            <w:r w:rsidR="00860849">
              <w:rPr>
                <w:rFonts w:ascii="Times New Roman" w:hAnsi="Times New Roman" w:cs="Times New Roman"/>
                <w:sz w:val="24"/>
                <w:szCs w:val="24"/>
              </w:rPr>
              <w:t>, «Литературное чтение».</w:t>
            </w: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84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Лауреаты  (65б., 86б., 91б., 95б.)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80% учащихся 2 класса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21" w:rsidRPr="00860849" w:rsidTr="00860849">
        <w:tc>
          <w:tcPr>
            <w:tcW w:w="1768" w:type="dxa"/>
            <w:vMerge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заочный конкурс Интеллект – экспресс «Тайны математики» </w:t>
            </w: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(5,6кл.)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Участника  (78б., 81б.)</w:t>
            </w:r>
          </w:p>
        </w:tc>
      </w:tr>
      <w:tr w:rsidR="00D32721" w:rsidRPr="00860849" w:rsidTr="00860849">
        <w:tc>
          <w:tcPr>
            <w:tcW w:w="1768" w:type="dxa"/>
            <w:vMerge w:val="restart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2010 - 2011</w:t>
            </w: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Соревнование в решении логических задач и головоломок заочного интернет - конкурса «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LOGICUS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="00860849">
              <w:rPr>
                <w:rFonts w:ascii="Times New Roman" w:hAnsi="Times New Roman" w:cs="Times New Roman"/>
                <w:sz w:val="24"/>
                <w:szCs w:val="24"/>
              </w:rPr>
              <w:t xml:space="preserve">, из них 2 ученика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(40%) </w:t>
            </w:r>
            <w:r w:rsidR="008608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8608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«Отличный решатель». Результат выполнения заданий 92%</w:t>
            </w:r>
          </w:p>
          <w:p w:rsidR="00D32721" w:rsidRPr="00860849" w:rsidRDefault="00860849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(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призеры в номинации «У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>спешный решатель» (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>71%)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21" w:rsidRPr="00860849" w:rsidTr="00860849">
        <w:tc>
          <w:tcPr>
            <w:tcW w:w="1768" w:type="dxa"/>
            <w:vMerge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заочная физико – математическая олимпиада «Авангард»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  <w:p w:rsidR="00D32721" w:rsidRPr="00860849" w:rsidRDefault="00BD4A42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учеников награждены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  <w:proofErr w:type="gramStart"/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вошли в 15% лучших олимпиадных работ)</w:t>
            </w:r>
            <w:r w:rsidR="00D32721" w:rsidRPr="00860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</w:t>
            </w:r>
            <w:proofErr w:type="gramStart"/>
            <w:r w:rsidR="00BD4A42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="00BD4A42">
              <w:rPr>
                <w:rFonts w:ascii="Times New Roman" w:hAnsi="Times New Roman" w:cs="Times New Roman"/>
                <w:sz w:val="24"/>
                <w:szCs w:val="24"/>
              </w:rPr>
              <w:t xml:space="preserve">  Похвальными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21" w:rsidRPr="00860849" w:rsidTr="00860849">
        <w:tc>
          <w:tcPr>
            <w:tcW w:w="1768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заочный конкурс Интеллект – экспресс «Тайны математики»</w:t>
            </w:r>
            <w:proofErr w:type="gramStart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тайн»</w:t>
            </w:r>
          </w:p>
        </w:tc>
        <w:tc>
          <w:tcPr>
            <w:tcW w:w="1991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(учащиеся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ступеней)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12% - Диплом за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50% - Свидетельство Лауреата</w:t>
            </w:r>
          </w:p>
          <w:p w:rsidR="00D32721" w:rsidRPr="00860849" w:rsidRDefault="00D32721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38% - Свидетельство Участника</w:t>
            </w:r>
          </w:p>
        </w:tc>
      </w:tr>
      <w:tr w:rsidR="006E6688" w:rsidRPr="00860849" w:rsidTr="00860849">
        <w:tc>
          <w:tcPr>
            <w:tcW w:w="1768" w:type="dxa"/>
            <w:vMerge w:val="restart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2011 -  2012</w:t>
            </w: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1 полугодие)</w:t>
            </w:r>
          </w:p>
        </w:tc>
        <w:tc>
          <w:tcPr>
            <w:tcW w:w="2939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открытый заочный конкурс Интеллект – экспресс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«Тайны математики»</w:t>
            </w:r>
            <w:proofErr w:type="gramStart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тайн»</w:t>
            </w:r>
          </w:p>
        </w:tc>
        <w:tc>
          <w:tcPr>
            <w:tcW w:w="1991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873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ступени,</w:t>
            </w: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ожидаются в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январе</w:t>
            </w:r>
          </w:p>
        </w:tc>
      </w:tr>
      <w:tr w:rsidR="006E6688" w:rsidRPr="00860849" w:rsidTr="00860849">
        <w:tc>
          <w:tcPr>
            <w:tcW w:w="1768" w:type="dxa"/>
            <w:vMerge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заочная физико – математическая олимпиада «Авангард»</w:t>
            </w: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73" w:type="dxa"/>
          </w:tcPr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r w:rsidRPr="00860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E6688" w:rsidRPr="00860849" w:rsidRDefault="006E6688" w:rsidP="0086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ступени, </w:t>
            </w:r>
          </w:p>
          <w:p w:rsidR="006E6688" w:rsidRPr="00860849" w:rsidRDefault="006E6688" w:rsidP="00BD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ожидаются в </w:t>
            </w:r>
            <w:r w:rsidR="00BD4A42">
              <w:rPr>
                <w:rFonts w:ascii="Times New Roman" w:hAnsi="Times New Roman" w:cs="Times New Roman"/>
                <w:sz w:val="24"/>
                <w:szCs w:val="24"/>
              </w:rPr>
              <w:t>марте 2012 г.</w:t>
            </w:r>
          </w:p>
        </w:tc>
      </w:tr>
    </w:tbl>
    <w:p w:rsidR="00D32721" w:rsidRPr="00860849" w:rsidRDefault="00D32721" w:rsidP="0086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21" w:rsidRPr="00860849" w:rsidRDefault="00D32721" w:rsidP="0086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49">
        <w:rPr>
          <w:rFonts w:ascii="Times New Roman" w:hAnsi="Times New Roman" w:cs="Times New Roman"/>
          <w:sz w:val="24"/>
          <w:szCs w:val="24"/>
        </w:rPr>
        <w:t>Олимпиады школьного уровня проходят ежегодно во 2-11 классах в рамках месячника знаний.  В нашей малочисленной школе</w:t>
      </w:r>
      <w:r w:rsidR="00BD4A42">
        <w:rPr>
          <w:rFonts w:ascii="Times New Roman" w:hAnsi="Times New Roman" w:cs="Times New Roman"/>
          <w:sz w:val="24"/>
          <w:szCs w:val="24"/>
        </w:rPr>
        <w:t xml:space="preserve"> (48</w:t>
      </w:r>
      <w:r w:rsidR="00FE7043" w:rsidRPr="00860849">
        <w:rPr>
          <w:rFonts w:ascii="Times New Roman" w:hAnsi="Times New Roman" w:cs="Times New Roman"/>
          <w:sz w:val="24"/>
          <w:szCs w:val="24"/>
        </w:rPr>
        <w:t xml:space="preserve"> учеников)</w:t>
      </w:r>
      <w:r w:rsidRPr="00860849">
        <w:rPr>
          <w:rFonts w:ascii="Times New Roman" w:hAnsi="Times New Roman" w:cs="Times New Roman"/>
          <w:sz w:val="24"/>
          <w:szCs w:val="24"/>
        </w:rPr>
        <w:t xml:space="preserve"> выбор детей невелик, тем более что уже произошел отток населения из поселка, имеющего хороший уровень образования. Этот фактор сказался на снижении интеллектуального уровня детей. Обучить можно всех детей, а подготовить ученика на районную и областную предметную олимпиаду трудно</w:t>
      </w:r>
      <w:r w:rsidR="00D61A99">
        <w:rPr>
          <w:rFonts w:ascii="Times New Roman" w:hAnsi="Times New Roman" w:cs="Times New Roman"/>
          <w:sz w:val="24"/>
          <w:szCs w:val="24"/>
        </w:rPr>
        <w:t>.</w:t>
      </w:r>
      <w:r w:rsidRPr="00860849">
        <w:rPr>
          <w:rFonts w:ascii="Times New Roman" w:hAnsi="Times New Roman" w:cs="Times New Roman"/>
          <w:sz w:val="24"/>
          <w:szCs w:val="24"/>
        </w:rPr>
        <w:t xml:space="preserve"> Индивидуальная и дифференцированная</w:t>
      </w:r>
      <w:proofErr w:type="gramStart"/>
      <w:r w:rsidR="00BD4A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A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4A42">
        <w:rPr>
          <w:rFonts w:ascii="Times New Roman" w:hAnsi="Times New Roman" w:cs="Times New Roman"/>
          <w:sz w:val="24"/>
          <w:szCs w:val="24"/>
        </w:rPr>
        <w:t>сследовательская</w:t>
      </w:r>
      <w:r w:rsidRPr="00860849">
        <w:rPr>
          <w:rFonts w:ascii="Times New Roman" w:hAnsi="Times New Roman" w:cs="Times New Roman"/>
          <w:sz w:val="24"/>
          <w:szCs w:val="24"/>
        </w:rPr>
        <w:t xml:space="preserve"> работа с детьми, а также внеклассная работа по предметам позволяют мне добиваться </w:t>
      </w:r>
      <w:r w:rsidR="00BD4A42">
        <w:rPr>
          <w:rFonts w:ascii="Times New Roman" w:hAnsi="Times New Roman" w:cs="Times New Roman"/>
          <w:sz w:val="24"/>
          <w:szCs w:val="24"/>
        </w:rPr>
        <w:t>высоких</w:t>
      </w:r>
      <w:r w:rsidRPr="00860849">
        <w:rPr>
          <w:rFonts w:ascii="Times New Roman" w:hAnsi="Times New Roman" w:cs="Times New Roman"/>
          <w:sz w:val="24"/>
          <w:szCs w:val="24"/>
        </w:rPr>
        <w:t xml:space="preserve"> результатов. С подключением школы к сети Интернет </w:t>
      </w:r>
      <w:r w:rsidR="00D61A99">
        <w:rPr>
          <w:rFonts w:ascii="Times New Roman" w:hAnsi="Times New Roman" w:cs="Times New Roman"/>
          <w:sz w:val="24"/>
          <w:szCs w:val="24"/>
        </w:rPr>
        <w:t xml:space="preserve">обучающиеся имеют </w:t>
      </w:r>
      <w:r w:rsidRPr="00860849">
        <w:rPr>
          <w:rFonts w:ascii="Times New Roman" w:hAnsi="Times New Roman" w:cs="Times New Roman"/>
          <w:sz w:val="24"/>
          <w:szCs w:val="24"/>
        </w:rPr>
        <w:t xml:space="preserve"> возможность участвовать в заочных олимпиадах, чемпионатах, интернет – конкурсах различного уровня в течение всего учебного года. </w:t>
      </w:r>
      <w:r w:rsidR="00BD4A42">
        <w:rPr>
          <w:rFonts w:ascii="Times New Roman" w:hAnsi="Times New Roman" w:cs="Times New Roman"/>
          <w:sz w:val="24"/>
          <w:szCs w:val="24"/>
        </w:rPr>
        <w:t xml:space="preserve">Возросло число участников </w:t>
      </w:r>
      <w:r w:rsidR="00BD3960">
        <w:rPr>
          <w:rFonts w:ascii="Times New Roman" w:hAnsi="Times New Roman" w:cs="Times New Roman"/>
          <w:sz w:val="24"/>
          <w:szCs w:val="24"/>
        </w:rPr>
        <w:t>научно-образовательной программы «Интеллектуально-творческий потенциал России» на 60%. Мои ученики стали участвовать в международном соревновании</w:t>
      </w:r>
      <w:r w:rsidR="00BD3960" w:rsidRPr="00860849">
        <w:rPr>
          <w:rFonts w:ascii="Times New Roman" w:hAnsi="Times New Roman" w:cs="Times New Roman"/>
          <w:sz w:val="24"/>
          <w:szCs w:val="24"/>
        </w:rPr>
        <w:t xml:space="preserve"> в решении логических задач и головоломок заочного интернет - конкурса «</w:t>
      </w:r>
      <w:r w:rsidR="00BD3960" w:rsidRPr="00860849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="00BD3960" w:rsidRPr="00860849">
        <w:rPr>
          <w:rFonts w:ascii="Times New Roman" w:hAnsi="Times New Roman" w:cs="Times New Roman"/>
          <w:sz w:val="24"/>
          <w:szCs w:val="24"/>
        </w:rPr>
        <w:t xml:space="preserve"> </w:t>
      </w:r>
      <w:r w:rsidR="00BD3960" w:rsidRPr="00860849">
        <w:rPr>
          <w:rFonts w:ascii="Times New Roman" w:hAnsi="Times New Roman" w:cs="Times New Roman"/>
          <w:sz w:val="24"/>
          <w:szCs w:val="24"/>
          <w:lang w:val="en-US"/>
        </w:rPr>
        <w:t>LOGICUS</w:t>
      </w:r>
      <w:r w:rsidR="00BD3960" w:rsidRPr="00860849">
        <w:rPr>
          <w:rFonts w:ascii="Times New Roman" w:hAnsi="Times New Roman" w:cs="Times New Roman"/>
          <w:sz w:val="24"/>
          <w:szCs w:val="24"/>
        </w:rPr>
        <w:t>»</w:t>
      </w:r>
      <w:r w:rsidR="00BD3960">
        <w:rPr>
          <w:rFonts w:ascii="Times New Roman" w:hAnsi="Times New Roman" w:cs="Times New Roman"/>
          <w:sz w:val="24"/>
          <w:szCs w:val="24"/>
        </w:rPr>
        <w:t xml:space="preserve"> и достигать хороших результатов. Применения  технологии проблемного обучения, ИКТ создало высокую мотивацию участия в предметных олимпиадах и конференциях.</w:t>
      </w:r>
    </w:p>
    <w:p w:rsidR="00D32721" w:rsidRPr="00860849" w:rsidRDefault="00D32721" w:rsidP="00860849">
      <w:pPr>
        <w:rPr>
          <w:rFonts w:ascii="Times New Roman" w:hAnsi="Times New Roman" w:cs="Times New Roman"/>
          <w:sz w:val="24"/>
          <w:szCs w:val="24"/>
        </w:rPr>
      </w:pPr>
    </w:p>
    <w:p w:rsidR="00D32721" w:rsidRPr="00860849" w:rsidRDefault="00D32721" w:rsidP="00860849">
      <w:pPr>
        <w:rPr>
          <w:rFonts w:ascii="Times New Roman" w:hAnsi="Times New Roman" w:cs="Times New Roman"/>
          <w:sz w:val="24"/>
          <w:szCs w:val="24"/>
        </w:rPr>
      </w:pPr>
    </w:p>
    <w:p w:rsidR="00D32721" w:rsidRPr="00860849" w:rsidRDefault="00D32721" w:rsidP="00860849">
      <w:pPr>
        <w:rPr>
          <w:rFonts w:ascii="Times New Roman" w:hAnsi="Times New Roman" w:cs="Times New Roman"/>
          <w:sz w:val="24"/>
          <w:szCs w:val="24"/>
        </w:rPr>
      </w:pPr>
    </w:p>
    <w:p w:rsidR="00D32721" w:rsidRPr="00860849" w:rsidRDefault="00D32721" w:rsidP="00D32721">
      <w:pPr>
        <w:rPr>
          <w:rFonts w:ascii="Times New Roman" w:hAnsi="Times New Roman" w:cs="Times New Roman"/>
          <w:sz w:val="24"/>
          <w:szCs w:val="24"/>
        </w:rPr>
      </w:pPr>
    </w:p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Default="00D32721" w:rsidP="00D32721"/>
    <w:p w:rsidR="00D32721" w:rsidRPr="00BD3960" w:rsidRDefault="00D32721" w:rsidP="00D32721">
      <w:pPr>
        <w:rPr>
          <w:rFonts w:ascii="Times New Roman" w:hAnsi="Times New Roman" w:cs="Times New Roman"/>
          <w:sz w:val="24"/>
          <w:szCs w:val="24"/>
        </w:rPr>
      </w:pPr>
      <w:r w:rsidRPr="00BD3960">
        <w:rPr>
          <w:rFonts w:ascii="Times New Roman" w:hAnsi="Times New Roman" w:cs="Times New Roman"/>
          <w:sz w:val="24"/>
          <w:szCs w:val="24"/>
        </w:rPr>
        <w:t>Заверяю</w:t>
      </w:r>
    </w:p>
    <w:p w:rsidR="00D32721" w:rsidRPr="00BD3960" w:rsidRDefault="00D32721" w:rsidP="00D32721">
      <w:pPr>
        <w:rPr>
          <w:rFonts w:ascii="Times New Roman" w:hAnsi="Times New Roman" w:cs="Times New Roman"/>
          <w:sz w:val="24"/>
          <w:szCs w:val="24"/>
        </w:rPr>
      </w:pPr>
      <w:r w:rsidRPr="00BD3960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</w:p>
    <w:p w:rsidR="00B741AE" w:rsidRDefault="00B741AE"/>
    <w:sectPr w:rsidR="00B741AE" w:rsidSect="008608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21"/>
    <w:rsid w:val="000653C2"/>
    <w:rsid w:val="001613C6"/>
    <w:rsid w:val="004218AA"/>
    <w:rsid w:val="00563A67"/>
    <w:rsid w:val="006E6688"/>
    <w:rsid w:val="00860849"/>
    <w:rsid w:val="00B741AE"/>
    <w:rsid w:val="00BD3960"/>
    <w:rsid w:val="00BD4A42"/>
    <w:rsid w:val="00D32721"/>
    <w:rsid w:val="00D61A99"/>
    <w:rsid w:val="00F424B3"/>
    <w:rsid w:val="00F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Александрикова Г.Г.</cp:lastModifiedBy>
  <cp:revision>6</cp:revision>
  <dcterms:created xsi:type="dcterms:W3CDTF">2011-12-09T12:16:00Z</dcterms:created>
  <dcterms:modified xsi:type="dcterms:W3CDTF">2011-12-10T04:17:00Z</dcterms:modified>
</cp:coreProperties>
</file>