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77" w:rsidRPr="00C223D5" w:rsidRDefault="00652777" w:rsidP="00652777">
      <w:pPr>
        <w:pStyle w:val="3"/>
        <w:jc w:val="center"/>
        <w:rPr>
          <w:rFonts w:ascii="Gungsuh" w:eastAsia="Gungsuh" w:hAnsi="Gungsuh"/>
          <w:sz w:val="56"/>
          <w:szCs w:val="56"/>
        </w:rPr>
      </w:pPr>
      <w:r>
        <w:rPr>
          <w:rFonts w:ascii="Gungsuh" w:eastAsia="Gungsuh" w:hAnsi="Gungsuh"/>
          <w:sz w:val="56"/>
          <w:szCs w:val="56"/>
        </w:rPr>
        <w:t>Консультация</w:t>
      </w:r>
      <w:bookmarkStart w:id="0" w:name="_GoBack"/>
      <w:bookmarkEnd w:id="0"/>
      <w:r w:rsidRPr="00C223D5">
        <w:rPr>
          <w:rFonts w:ascii="Gungsuh" w:eastAsia="Gungsuh" w:hAnsi="Gungsuh"/>
          <w:sz w:val="56"/>
          <w:szCs w:val="56"/>
        </w:rPr>
        <w:t xml:space="preserve"> для родителей</w:t>
      </w:r>
    </w:p>
    <w:p w:rsidR="00652777" w:rsidRPr="00C223D5" w:rsidRDefault="00652777" w:rsidP="00652777">
      <w:pPr>
        <w:pStyle w:val="4"/>
        <w:jc w:val="center"/>
        <w:rPr>
          <w:rFonts w:ascii="Gungsuh" w:eastAsia="Gungsuh" w:hAnsi="Gungsuh"/>
          <w:color w:val="FF0000"/>
          <w:sz w:val="56"/>
          <w:szCs w:val="56"/>
        </w:rPr>
      </w:pPr>
      <w:r w:rsidRPr="00C223D5">
        <w:rPr>
          <w:rFonts w:ascii="Gungsuh" w:eastAsia="Gungsuh" w:hAnsi="Gungsuh"/>
          <w:color w:val="FF0000"/>
          <w:sz w:val="56"/>
          <w:szCs w:val="56"/>
        </w:rPr>
        <w:t>«Почему дети разные?»</w:t>
      </w:r>
    </w:p>
    <w:p w:rsidR="00652777" w:rsidRPr="00C223D5" w:rsidRDefault="00652777" w:rsidP="00652777">
      <w:pPr>
        <w:pStyle w:val="small2"/>
        <w:jc w:val="center"/>
        <w:rPr>
          <w:rFonts w:ascii="Gungsuh" w:eastAsia="Gungsuh" w:hAnsi="Gungsuh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83AA65" wp14:editId="312CB218">
            <wp:simplePos x="0" y="0"/>
            <wp:positionH relativeFrom="column">
              <wp:posOffset>737870</wp:posOffset>
            </wp:positionH>
            <wp:positionV relativeFrom="paragraph">
              <wp:posOffset>534035</wp:posOffset>
            </wp:positionV>
            <wp:extent cx="3886200" cy="3886200"/>
            <wp:effectExtent l="0" t="0" r="0" b="0"/>
            <wp:wrapTight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ight>
            <wp:docPr id="2" name="Рисунок 2" descr="Картинка 21 из 8334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1 из 8334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777" w:rsidRDefault="00652777" w:rsidP="00652777">
      <w:pPr>
        <w:pStyle w:val="a6"/>
        <w:rPr>
          <w:rFonts w:ascii="Verdana" w:hAnsi="Verdana"/>
          <w:sz w:val="18"/>
          <w:szCs w:val="18"/>
        </w:rPr>
      </w:pPr>
    </w:p>
    <w:p w:rsidR="00652777" w:rsidRDefault="00652777" w:rsidP="00652777">
      <w:pPr>
        <w:pStyle w:val="a6"/>
        <w:rPr>
          <w:rFonts w:ascii="Verdana" w:hAnsi="Verdana"/>
          <w:sz w:val="18"/>
          <w:szCs w:val="18"/>
        </w:rPr>
      </w:pPr>
    </w:p>
    <w:p w:rsidR="00652777" w:rsidRDefault="00652777" w:rsidP="00652777">
      <w:pPr>
        <w:pStyle w:val="a6"/>
        <w:rPr>
          <w:rFonts w:ascii="Verdana" w:hAnsi="Verdana"/>
          <w:sz w:val="18"/>
          <w:szCs w:val="18"/>
        </w:rPr>
      </w:pPr>
    </w:p>
    <w:p w:rsidR="00652777" w:rsidRDefault="00652777" w:rsidP="00652777">
      <w:pPr>
        <w:pStyle w:val="a6"/>
        <w:rPr>
          <w:rFonts w:ascii="Verdana" w:hAnsi="Verdana"/>
          <w:sz w:val="18"/>
          <w:szCs w:val="18"/>
        </w:rPr>
      </w:pPr>
    </w:p>
    <w:p w:rsidR="00652777" w:rsidRDefault="00652777" w:rsidP="00652777">
      <w:pPr>
        <w:pStyle w:val="a6"/>
        <w:rPr>
          <w:rFonts w:ascii="Verdana" w:hAnsi="Verdana"/>
          <w:sz w:val="18"/>
          <w:szCs w:val="18"/>
        </w:rPr>
      </w:pPr>
    </w:p>
    <w:p w:rsidR="00652777" w:rsidRDefault="00652777" w:rsidP="00652777">
      <w:pPr>
        <w:pStyle w:val="a6"/>
        <w:rPr>
          <w:rFonts w:ascii="Verdana" w:hAnsi="Verdana"/>
          <w:sz w:val="18"/>
          <w:szCs w:val="18"/>
        </w:rPr>
      </w:pPr>
    </w:p>
    <w:p w:rsidR="00652777" w:rsidRDefault="00652777" w:rsidP="00652777">
      <w:pPr>
        <w:pStyle w:val="a6"/>
        <w:rPr>
          <w:rFonts w:ascii="Verdana" w:hAnsi="Verdana"/>
          <w:sz w:val="18"/>
          <w:szCs w:val="18"/>
        </w:rPr>
      </w:pPr>
    </w:p>
    <w:p w:rsidR="00652777" w:rsidRDefault="00652777" w:rsidP="00652777">
      <w:pPr>
        <w:pStyle w:val="a6"/>
        <w:rPr>
          <w:rFonts w:ascii="Verdana" w:hAnsi="Verdana"/>
          <w:sz w:val="18"/>
          <w:szCs w:val="18"/>
        </w:rPr>
      </w:pPr>
    </w:p>
    <w:p w:rsidR="00652777" w:rsidRDefault="00652777" w:rsidP="00652777">
      <w:pPr>
        <w:pStyle w:val="a6"/>
        <w:rPr>
          <w:rFonts w:ascii="Verdana" w:hAnsi="Verdana"/>
          <w:sz w:val="18"/>
          <w:szCs w:val="18"/>
        </w:rPr>
      </w:pPr>
    </w:p>
    <w:p w:rsidR="00652777" w:rsidRDefault="00652777" w:rsidP="00652777">
      <w:pPr>
        <w:pStyle w:val="a6"/>
        <w:rPr>
          <w:rFonts w:ascii="Verdana" w:hAnsi="Verdana"/>
          <w:sz w:val="18"/>
          <w:szCs w:val="18"/>
        </w:rPr>
      </w:pPr>
    </w:p>
    <w:p w:rsidR="00652777" w:rsidRDefault="00652777" w:rsidP="00652777">
      <w:pPr>
        <w:pStyle w:val="a6"/>
        <w:rPr>
          <w:rFonts w:ascii="Verdana" w:hAnsi="Verdana"/>
          <w:sz w:val="18"/>
          <w:szCs w:val="18"/>
        </w:rPr>
      </w:pPr>
    </w:p>
    <w:p w:rsidR="00652777" w:rsidRDefault="00652777" w:rsidP="00652777">
      <w:pPr>
        <w:pStyle w:val="a6"/>
        <w:rPr>
          <w:rFonts w:ascii="Verdana" w:hAnsi="Verdana"/>
          <w:sz w:val="18"/>
          <w:szCs w:val="18"/>
        </w:rPr>
      </w:pPr>
    </w:p>
    <w:p w:rsidR="00652777" w:rsidRDefault="00652777" w:rsidP="00652777">
      <w:pPr>
        <w:pStyle w:val="a6"/>
        <w:rPr>
          <w:rFonts w:ascii="Verdana" w:hAnsi="Verdana"/>
          <w:sz w:val="18"/>
          <w:szCs w:val="18"/>
        </w:rPr>
      </w:pPr>
    </w:p>
    <w:p w:rsidR="00652777" w:rsidRDefault="00652777" w:rsidP="00652777">
      <w:pPr>
        <w:pStyle w:val="a6"/>
        <w:rPr>
          <w:rFonts w:ascii="Verdana" w:hAnsi="Verdana"/>
          <w:sz w:val="18"/>
          <w:szCs w:val="18"/>
        </w:rPr>
      </w:pPr>
    </w:p>
    <w:p w:rsidR="00652777" w:rsidRDefault="00652777" w:rsidP="00652777">
      <w:pPr>
        <w:pStyle w:val="a6"/>
        <w:rPr>
          <w:rFonts w:ascii="Verdana" w:hAnsi="Verdana"/>
          <w:sz w:val="18"/>
          <w:szCs w:val="18"/>
        </w:rPr>
      </w:pPr>
    </w:p>
    <w:p w:rsidR="00652777" w:rsidRDefault="00652777" w:rsidP="00652777">
      <w:pPr>
        <w:pStyle w:val="a6"/>
        <w:rPr>
          <w:rFonts w:ascii="Verdana" w:hAnsi="Verdana"/>
          <w:sz w:val="18"/>
          <w:szCs w:val="18"/>
        </w:rPr>
      </w:pPr>
    </w:p>
    <w:p w:rsidR="00652777" w:rsidRDefault="00652777" w:rsidP="00652777">
      <w:pPr>
        <w:pStyle w:val="a6"/>
        <w:rPr>
          <w:rFonts w:ascii="Verdana" w:hAnsi="Verdana"/>
          <w:sz w:val="18"/>
          <w:szCs w:val="18"/>
        </w:rPr>
      </w:pPr>
    </w:p>
    <w:p w:rsidR="00652777" w:rsidRDefault="00652777" w:rsidP="00652777">
      <w:pPr>
        <w:pStyle w:val="a6"/>
        <w:rPr>
          <w:rFonts w:ascii="Verdana" w:hAnsi="Verdana"/>
          <w:sz w:val="18"/>
          <w:szCs w:val="18"/>
        </w:rPr>
      </w:pPr>
    </w:p>
    <w:p w:rsidR="00652777" w:rsidRDefault="00652777" w:rsidP="00652777">
      <w:pPr>
        <w:pStyle w:val="a6"/>
        <w:rPr>
          <w:rFonts w:ascii="Verdana" w:hAnsi="Verdana"/>
          <w:sz w:val="18"/>
          <w:szCs w:val="18"/>
        </w:rPr>
      </w:pPr>
    </w:p>
    <w:p w:rsidR="00652777" w:rsidRDefault="00652777" w:rsidP="00652777">
      <w:pPr>
        <w:pStyle w:val="a6"/>
        <w:rPr>
          <w:rFonts w:ascii="Verdana" w:hAnsi="Verdana"/>
          <w:sz w:val="18"/>
          <w:szCs w:val="18"/>
        </w:rPr>
      </w:pPr>
    </w:p>
    <w:p w:rsidR="00652777" w:rsidRDefault="00652777" w:rsidP="00652777">
      <w:pPr>
        <w:pStyle w:val="a6"/>
        <w:rPr>
          <w:rFonts w:ascii="Verdana" w:hAnsi="Verdana"/>
          <w:sz w:val="18"/>
          <w:szCs w:val="18"/>
        </w:rPr>
      </w:pP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</w:rPr>
        <w:t xml:space="preserve">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</w:t>
      </w:r>
      <w:r w:rsidRPr="007039E6">
        <w:rPr>
          <w:rFonts w:ascii="Bookman Old Style" w:hAnsi="Bookman Old Style"/>
        </w:rPr>
        <w:lastRenderedPageBreak/>
        <w:t xml:space="preserve">вступают в контакт с воспитателем, долго не могут освоиться в группе, а другие с первых дней чувствуют себя, «как рыба в воде»? Отрыв от дома и </w:t>
      </w:r>
      <w:proofErr w:type="gramStart"/>
      <w:r w:rsidRPr="007039E6">
        <w:rPr>
          <w:rFonts w:ascii="Bookman Old Style" w:hAnsi="Bookman Old Style"/>
        </w:rPr>
        <w:t>близких</w:t>
      </w:r>
      <w:proofErr w:type="gramEnd"/>
      <w:r w:rsidRPr="007039E6">
        <w:rPr>
          <w:rFonts w:ascii="Bookman Old Style" w:hAnsi="Bookman Old Style"/>
        </w:rPr>
        <w:t xml:space="preserve">, встреча с новыми взрослыми, незнакомыми детьми могут стать для ребенка серьезной психической травмой. Малыш может воспринять это как отчуждение, лишение родительской любви, внимания, защиты. Очень важно, чтобы этот переход был плавным, мягким, </w:t>
      </w:r>
      <w:proofErr w:type="spellStart"/>
      <w:r w:rsidRPr="007039E6">
        <w:rPr>
          <w:rFonts w:ascii="Bookman Old Style" w:hAnsi="Bookman Old Style"/>
        </w:rPr>
        <w:t>бестравматичным</w:t>
      </w:r>
      <w:proofErr w:type="spellEnd"/>
      <w:r w:rsidRPr="007039E6">
        <w:rPr>
          <w:rFonts w:ascii="Bookman Old Style" w:hAnsi="Bookman Old Style"/>
        </w:rPr>
        <w:t>.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</w:rPr>
        <w:t>Нетрудно заметить, что уже в первые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– послушный ребенок. Но не к каждому малышу подходит этот эпитет. Драчун и «паинька», «</w:t>
      </w:r>
      <w:proofErr w:type="gramStart"/>
      <w:r w:rsidRPr="007039E6">
        <w:rPr>
          <w:rFonts w:ascii="Bookman Old Style" w:hAnsi="Bookman Old Style"/>
        </w:rPr>
        <w:t>сорви голова</w:t>
      </w:r>
      <w:proofErr w:type="gramEnd"/>
      <w:r w:rsidRPr="007039E6">
        <w:rPr>
          <w:rFonts w:ascii="Bookman Old Style" w:hAnsi="Bookman Old Style"/>
        </w:rPr>
        <w:t>» и робкий, боязливый, неумелый, требующий постоянной опеки и вполне самостоятельный – вот какие они разные, наши малыши!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</w:rPr>
        <w:t xml:space="preserve">Отчего же зависят индивидуальные особенности детей? В этом важно разобраться! Многое, безусловно, решает воспитание. Ребенок не рождается </w:t>
      </w:r>
      <w:proofErr w:type="gramStart"/>
      <w:r w:rsidRPr="007039E6">
        <w:rPr>
          <w:rFonts w:ascii="Bookman Old Style" w:hAnsi="Bookman Old Style"/>
        </w:rPr>
        <w:t>добрым</w:t>
      </w:r>
      <w:proofErr w:type="gramEnd"/>
      <w:r w:rsidRPr="007039E6">
        <w:rPr>
          <w:rFonts w:ascii="Bookman Old Style" w:hAnsi="Bookman Old Style"/>
        </w:rPr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</w:rPr>
        <w:t xml:space="preserve">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 возникают чувства и насколько они сильны. Вследствие этого дети очень рано начинают проявлять себя как шустрые или медлительные, энергичные или вялые, более или менее эмоциональные. Один ребенок бурно выражает свои чувства: будучи недоволен, громко плачет и столь же ярко выражает радость, заливаясь смехом, приходя в восторг. </w:t>
      </w:r>
      <w:proofErr w:type="gramStart"/>
      <w:r w:rsidRPr="007039E6">
        <w:rPr>
          <w:rFonts w:ascii="Bookman Old Style" w:hAnsi="Bookman Old Style"/>
        </w:rPr>
        <w:t>Другой</w:t>
      </w:r>
      <w:proofErr w:type="gramEnd"/>
      <w:r w:rsidRPr="007039E6">
        <w:rPr>
          <w:rFonts w:ascii="Bookman Old Style" w:hAnsi="Bookman Old Style"/>
        </w:rPr>
        <w:t xml:space="preserve"> при подобных же обстоятельствах лишь тихонько хнычет или добродушно улыбается.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</w:rPr>
        <w:t>Тип высшей нервной деятельности очень устойчив и мало поддается изменениям. Однако надо иметь в виду, что ярко выраженные представители того или иного типа нервной системы встречаются среди детей реже, чем так называемые «переходные». Другими словами, ребенок может проявлять в своем поведении особенности, свойственные как одному, так и другому типу.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</w:rPr>
        <w:t>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мама не дает возможности активно двигаться. Постепенно он становится малоподвижным, флегматичным.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</w:rPr>
        <w:t xml:space="preserve">Чрезмерная строгость в отношении к ребенку, злоупотребление наказаниями, постоянные запреты также могут привести к маскировке </w:t>
      </w:r>
      <w:r w:rsidRPr="007039E6">
        <w:rPr>
          <w:rFonts w:ascii="Bookman Old Style" w:hAnsi="Bookman Old Style"/>
        </w:rPr>
        <w:lastRenderedPageBreak/>
        <w:t>типа высшей нервной деятельности, при которой ребенок с сильными нервными процессами, подвижный может стать робким, тихим, малоактивным. Однако в первые годы жизни типологические особенности проявляются наиболее отчетливо.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  <w:b/>
          <w:bCs/>
          <w:u w:val="single"/>
        </w:rPr>
        <w:t>«Уравновешенный ребенок»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</w:rPr>
        <w:t xml:space="preserve">Дети с сильными, уравновешенными нервными процессами, чаще всего настроены бодро, плачут изредка и не без существенной </w:t>
      </w:r>
      <w:r w:rsidRPr="007039E6">
        <w:rPr>
          <w:rFonts w:ascii="Bookman Old Style" w:hAnsi="Bookman Old Style"/>
          <w:i/>
          <w:iCs/>
        </w:rPr>
        <w:t>(с их «точки зрения»)</w:t>
      </w:r>
      <w:r w:rsidRPr="007039E6">
        <w:rPr>
          <w:rFonts w:ascii="Bookman Old Style" w:hAnsi="Bookman Old Style"/>
        </w:rPr>
        <w:t xml:space="preserve"> причины, а при ее устранении быстро успокаиваются. У них преобладают положительные эмоции – радость, удовольствие. Сон глубок и продолжителен. Такой ребенок легко вступает в контакт </w:t>
      </w:r>
      <w:proofErr w:type="gramStart"/>
      <w:r w:rsidRPr="007039E6">
        <w:rPr>
          <w:rFonts w:ascii="Bookman Old Style" w:hAnsi="Bookman Old Style"/>
        </w:rPr>
        <w:t>со</w:t>
      </w:r>
      <w:proofErr w:type="gramEnd"/>
      <w:r w:rsidRPr="007039E6">
        <w:rPr>
          <w:rFonts w:ascii="Bookman Old Style" w:hAnsi="Bookman Old Style"/>
        </w:rPr>
        <w:t xml:space="preserve"> 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боязливым, замкнутым, плаксивым.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  <w:b/>
          <w:bCs/>
          <w:u w:val="single"/>
        </w:rPr>
        <w:t>«Шустрики»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</w:rPr>
        <w:t xml:space="preserve">У таких детей процесс возбуждения сильнее, чем процесс торможения </w:t>
      </w:r>
      <w:r w:rsidRPr="007039E6">
        <w:rPr>
          <w:rFonts w:ascii="Bookman Old Style" w:hAnsi="Bookman Old Style"/>
          <w:i/>
          <w:iCs/>
        </w:rPr>
        <w:t>(условно назовем их легковозбудимыми)</w:t>
      </w:r>
      <w:r w:rsidRPr="007039E6">
        <w:rPr>
          <w:rFonts w:ascii="Bookman Old Style" w:hAnsi="Bookman Old Style"/>
        </w:rPr>
        <w:t>. Особенностью их физического развития на первом году жизни является неравномерное увеличение веса по месяцам – то в пределах нормы, то ниже ее.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</w:rPr>
        <w:t>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утолив голод, может тут же уснуть.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</w:rPr>
        <w:t>Сон таких детей неглубокий, чуткий. Малейший разговор, даже шорохи в комнате, где спит ребенок, могут разбудить его.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</w:rPr>
        <w:t>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держит в руках сосед, тут же тянет ее к себе; на бегу толкает кого-то Он и не хотел этого, но его вечная неугомонность делает его «без вины виноватым».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</w:rPr>
        <w:t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  <w:b/>
          <w:bCs/>
          <w:u w:val="single"/>
        </w:rPr>
        <w:t>«</w:t>
      </w:r>
      <w:proofErr w:type="spellStart"/>
      <w:r w:rsidRPr="007039E6">
        <w:rPr>
          <w:rFonts w:ascii="Bookman Old Style" w:hAnsi="Bookman Old Style"/>
          <w:b/>
          <w:bCs/>
          <w:u w:val="single"/>
        </w:rPr>
        <w:t>Мямлики</w:t>
      </w:r>
      <w:proofErr w:type="spellEnd"/>
      <w:r w:rsidRPr="007039E6">
        <w:rPr>
          <w:rFonts w:ascii="Bookman Old Style" w:hAnsi="Bookman Old Style"/>
          <w:b/>
          <w:bCs/>
          <w:u w:val="single"/>
        </w:rPr>
        <w:t>»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</w:rPr>
        <w:t xml:space="preserve"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 </w:t>
      </w:r>
      <w:r w:rsidRPr="007039E6">
        <w:rPr>
          <w:rFonts w:ascii="Bookman Old Style" w:hAnsi="Bookman Old Style"/>
          <w:i/>
          <w:iCs/>
        </w:rPr>
        <w:t>(холериков)</w:t>
      </w:r>
      <w:r w:rsidRPr="007039E6">
        <w:rPr>
          <w:rFonts w:ascii="Bookman Old Style" w:hAnsi="Bookman Old Style"/>
        </w:rPr>
        <w:t xml:space="preserve">, которые сами привыкли все делать в быстром темпе, </w:t>
      </w:r>
      <w:r w:rsidRPr="007039E6">
        <w:rPr>
          <w:rFonts w:ascii="Bookman Old Style" w:hAnsi="Bookman Old Style"/>
        </w:rPr>
        <w:lastRenderedPageBreak/>
        <w:t>могут раздражать своей медлительностью. Ребенку надо помочь преодолеть присущую ему инертность, а не сердиться за медлительность.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</w:rPr>
        <w:t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</w:rPr>
        <w:t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подрастет и станет школьником. Его медлительность может мешать ему в учении, а неловкость и нерасторопность в играх сделают его предметом насмешек сверстников.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  <w:b/>
          <w:bCs/>
          <w:u w:val="single"/>
        </w:rPr>
        <w:t>Впечатлительные дети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</w:rPr>
        <w:t>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реагируют на настроение окружающих, а их собственное 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обстановку, по возможности исключать шумы.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</w:rPr>
        <w:t>Подрастая, такие дети могут чувствовать 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– он отошел, сделал другой пирожок, взял свою формочку, а нашему малышу – «</w:t>
      </w:r>
      <w:proofErr w:type="spellStart"/>
      <w:r w:rsidRPr="007039E6">
        <w:rPr>
          <w:rFonts w:ascii="Bookman Old Style" w:hAnsi="Bookman Old Style"/>
        </w:rPr>
        <w:t>слабышу</w:t>
      </w:r>
      <w:proofErr w:type="spellEnd"/>
      <w:r w:rsidRPr="007039E6">
        <w:rPr>
          <w:rFonts w:ascii="Bookman Old Style" w:hAnsi="Bookman Old Style"/>
        </w:rPr>
        <w:t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детский сад. К этому событию их нужно готовить особенно тщательно. Задача взрослых – помочь такому ребенку войти в детское общество.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</w:rPr>
        <w:t xml:space="preserve">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 w:rsidRPr="007039E6">
        <w:rPr>
          <w:rFonts w:ascii="Bookman Old Style" w:hAnsi="Bookman Old Style"/>
        </w:rPr>
        <w:t>помогать ему преодолевать</w:t>
      </w:r>
      <w:proofErr w:type="gramEnd"/>
      <w:r w:rsidRPr="007039E6">
        <w:rPr>
          <w:rFonts w:ascii="Bookman Old Style" w:hAnsi="Bookman Old Style"/>
        </w:rPr>
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самостоятельности. </w:t>
      </w:r>
      <w:r w:rsidRPr="007039E6">
        <w:rPr>
          <w:rFonts w:ascii="Bookman Old Style" w:hAnsi="Bookman Old Style"/>
        </w:rPr>
        <w:lastRenderedPageBreak/>
        <w:t>Первые успехи окрыляют малыша, он становится все смелее и решительнее.</w:t>
      </w: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</w:rPr>
        <w:t>Период адаптации – тяжелое время для малыша. Но в это время тяжело не только детям, но и их родителям. Поэтому очень важна совместная работа родителей и воспитателей. Рассказывая 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индивидуальный подход к ребенку.</w:t>
      </w:r>
    </w:p>
    <w:p w:rsidR="00652777" w:rsidRDefault="00652777" w:rsidP="00652777">
      <w:pPr>
        <w:pStyle w:val="a6"/>
        <w:rPr>
          <w:rFonts w:ascii="Bookman Old Style" w:hAnsi="Bookman Old Style"/>
        </w:rPr>
      </w:pPr>
      <w:r w:rsidRPr="007039E6">
        <w:rPr>
          <w:rFonts w:ascii="Bookman Old Style" w:hAnsi="Bookman Old Style"/>
        </w:rPr>
        <w:t>В наших общих интересах добиться того,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адаптации!</w:t>
      </w:r>
    </w:p>
    <w:p w:rsidR="00652777" w:rsidRDefault="00652777" w:rsidP="00652777">
      <w:pPr>
        <w:pStyle w:val="a6"/>
        <w:rPr>
          <w:rFonts w:ascii="Bookman Old Style" w:hAnsi="Bookman Old Style"/>
        </w:rPr>
      </w:pPr>
    </w:p>
    <w:p w:rsidR="00652777" w:rsidRDefault="00652777" w:rsidP="00652777">
      <w:pPr>
        <w:pStyle w:val="a6"/>
        <w:rPr>
          <w:rFonts w:ascii="Bookman Old Style" w:hAnsi="Bookman Old Style"/>
        </w:rPr>
      </w:pPr>
    </w:p>
    <w:p w:rsidR="00652777" w:rsidRDefault="00652777" w:rsidP="00652777">
      <w:pPr>
        <w:pStyle w:val="a6"/>
        <w:rPr>
          <w:rFonts w:ascii="Bookman Old Style" w:hAnsi="Bookman Old Style"/>
        </w:rPr>
      </w:pPr>
    </w:p>
    <w:p w:rsidR="00652777" w:rsidRDefault="00652777" w:rsidP="00652777">
      <w:pPr>
        <w:pStyle w:val="a6"/>
        <w:rPr>
          <w:rFonts w:ascii="Bookman Old Style" w:hAnsi="Bookman Old Style"/>
        </w:rPr>
      </w:pPr>
    </w:p>
    <w:p w:rsidR="00652777" w:rsidRPr="007039E6" w:rsidRDefault="00652777" w:rsidP="00652777">
      <w:pPr>
        <w:pStyle w:val="a6"/>
        <w:rPr>
          <w:rFonts w:ascii="Bookman Old Style" w:hAnsi="Bookman Old Style"/>
        </w:rPr>
      </w:pPr>
    </w:p>
    <w:p w:rsidR="00652777" w:rsidRDefault="00652777" w:rsidP="00652777">
      <w:pPr>
        <w:pStyle w:val="small2"/>
        <w:rPr>
          <w:rFonts w:ascii="Verdana" w:hAnsi="Verdana"/>
        </w:rPr>
      </w:pPr>
      <w:r>
        <w:rPr>
          <w:rFonts w:ascii="Verdana" w:hAnsi="Verdana"/>
          <w:b/>
          <w:bCs/>
          <w:u w:val="single"/>
        </w:rPr>
        <w:t>Литература:</w:t>
      </w:r>
    </w:p>
    <w:p w:rsidR="00652777" w:rsidRDefault="00652777" w:rsidP="00652777">
      <w:pPr>
        <w:pStyle w:val="small2"/>
        <w:rPr>
          <w:rFonts w:ascii="Verdana" w:hAnsi="Verdana"/>
        </w:rPr>
      </w:pPr>
      <w:r>
        <w:rPr>
          <w:rFonts w:ascii="Verdana" w:hAnsi="Verdana"/>
        </w:rPr>
        <w:t xml:space="preserve">Адаптация детей раннего возраста к условиям ДОУ: Практическое пособие/ Авт. </w:t>
      </w:r>
      <w:proofErr w:type="gramStart"/>
      <w:r>
        <w:rPr>
          <w:rFonts w:ascii="Verdana" w:hAnsi="Verdana"/>
        </w:rPr>
        <w:t>-с</w:t>
      </w:r>
      <w:proofErr w:type="gramEnd"/>
      <w:r>
        <w:rPr>
          <w:rFonts w:ascii="Verdana" w:hAnsi="Verdana"/>
        </w:rPr>
        <w:t>ост. Белкина Л. В. – Воронеж «Учитель», 2004</w:t>
      </w:r>
    </w:p>
    <w:p w:rsidR="00652777" w:rsidRDefault="00652777" w:rsidP="00652777">
      <w:pPr>
        <w:pStyle w:val="small2"/>
        <w:rPr>
          <w:rFonts w:ascii="Verdana" w:hAnsi="Verdana"/>
        </w:rPr>
      </w:pPr>
      <w:r>
        <w:rPr>
          <w:rFonts w:ascii="Verdana" w:hAnsi="Verdana"/>
        </w:rPr>
        <w:t>Правильно ли воспитываем малыша: Пособие для воспитателя/Под ред. Островской Л. Ф. – М.</w:t>
      </w:r>
      <w:proofErr w:type="gramStart"/>
      <w:r>
        <w:rPr>
          <w:rFonts w:ascii="Verdana" w:hAnsi="Verdana"/>
        </w:rPr>
        <w:t xml:space="preserve"> :</w:t>
      </w:r>
      <w:proofErr w:type="gramEnd"/>
      <w:r>
        <w:rPr>
          <w:rFonts w:ascii="Verdana" w:hAnsi="Verdana"/>
        </w:rPr>
        <w:t xml:space="preserve"> Просвещение, 1979</w:t>
      </w:r>
    </w:p>
    <w:p w:rsidR="00652777" w:rsidRDefault="00652777" w:rsidP="00652777"/>
    <w:p w:rsidR="00652777" w:rsidRDefault="00652777" w:rsidP="00652777"/>
    <w:p w:rsidR="00A112DC" w:rsidRDefault="00A112DC"/>
    <w:sectPr w:rsidR="00A1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28"/>
    <w:rsid w:val="003F78FE"/>
    <w:rsid w:val="00437328"/>
    <w:rsid w:val="00652777"/>
    <w:rsid w:val="00A112DC"/>
    <w:rsid w:val="00C47EEB"/>
    <w:rsid w:val="00D6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7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6527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527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7EEB"/>
    <w:rPr>
      <w:rFonts w:ascii="Calibri" w:eastAsia="Times New Roman" w:hAnsi="Calibri"/>
      <w:b/>
      <w:bCs/>
      <w:lang w:val="en-US" w:bidi="en-US"/>
    </w:rPr>
  </w:style>
  <w:style w:type="character" w:customStyle="1" w:styleId="a4">
    <w:name w:val="Без интервала Знак"/>
    <w:link w:val="a3"/>
    <w:uiPriority w:val="1"/>
    <w:rsid w:val="00C47EEB"/>
    <w:rPr>
      <w:rFonts w:ascii="Calibri" w:eastAsia="Times New Roman" w:hAnsi="Calibri"/>
      <w:b/>
      <w:bCs/>
      <w:lang w:val="en-US" w:bidi="en-US"/>
    </w:rPr>
  </w:style>
  <w:style w:type="paragraph" w:styleId="a5">
    <w:name w:val="List Paragraph"/>
    <w:basedOn w:val="a"/>
    <w:uiPriority w:val="34"/>
    <w:qFormat/>
    <w:rsid w:val="00C47EEB"/>
    <w:pPr>
      <w:ind w:left="720"/>
      <w:contextualSpacing/>
    </w:pPr>
    <w:rPr>
      <w:rFonts w:ascii="Times New Roman" w:eastAsia="Calibri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652777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2777"/>
    <w:rPr>
      <w:rFonts w:eastAsia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5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2">
    <w:name w:val="small2"/>
    <w:basedOn w:val="a"/>
    <w:rsid w:val="0065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7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6527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527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7EEB"/>
    <w:rPr>
      <w:rFonts w:ascii="Calibri" w:eastAsia="Times New Roman" w:hAnsi="Calibri"/>
      <w:b/>
      <w:bCs/>
      <w:lang w:val="en-US" w:bidi="en-US"/>
    </w:rPr>
  </w:style>
  <w:style w:type="character" w:customStyle="1" w:styleId="a4">
    <w:name w:val="Без интервала Знак"/>
    <w:link w:val="a3"/>
    <w:uiPriority w:val="1"/>
    <w:rsid w:val="00C47EEB"/>
    <w:rPr>
      <w:rFonts w:ascii="Calibri" w:eastAsia="Times New Roman" w:hAnsi="Calibri"/>
      <w:b/>
      <w:bCs/>
      <w:lang w:val="en-US" w:bidi="en-US"/>
    </w:rPr>
  </w:style>
  <w:style w:type="paragraph" w:styleId="a5">
    <w:name w:val="List Paragraph"/>
    <w:basedOn w:val="a"/>
    <w:uiPriority w:val="34"/>
    <w:qFormat/>
    <w:rsid w:val="00C47EEB"/>
    <w:pPr>
      <w:ind w:left="720"/>
      <w:contextualSpacing/>
    </w:pPr>
    <w:rPr>
      <w:rFonts w:ascii="Times New Roman" w:eastAsia="Calibri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652777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2777"/>
    <w:rPr>
      <w:rFonts w:eastAsia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5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2">
    <w:name w:val="small2"/>
    <w:basedOn w:val="a"/>
    <w:rsid w:val="0065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minus1.moy.su/posts/babyminus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inus1.moy.su/posts/babyminus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2013-01-13T07:55:00Z</dcterms:created>
  <dcterms:modified xsi:type="dcterms:W3CDTF">2013-01-13T07:55:00Z</dcterms:modified>
</cp:coreProperties>
</file>