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BD" w:rsidRDefault="001540BD" w:rsidP="001540BD">
      <w:pPr>
        <w:jc w:val="center"/>
        <w:rPr>
          <w:b/>
          <w:color w:val="FF0000"/>
          <w:sz w:val="72"/>
          <w:szCs w:val="72"/>
        </w:rPr>
      </w:pPr>
    </w:p>
    <w:p w:rsidR="001540BD" w:rsidRDefault="001540BD" w:rsidP="001540BD">
      <w:pPr>
        <w:jc w:val="center"/>
        <w:rPr>
          <w:b/>
          <w:color w:val="FF0000"/>
          <w:sz w:val="72"/>
          <w:szCs w:val="72"/>
        </w:rPr>
      </w:pPr>
    </w:p>
    <w:p w:rsidR="001540BD" w:rsidRDefault="001540BD" w:rsidP="001540BD">
      <w:pPr>
        <w:jc w:val="center"/>
        <w:rPr>
          <w:b/>
          <w:color w:val="FF0000"/>
          <w:sz w:val="72"/>
          <w:szCs w:val="72"/>
        </w:rPr>
      </w:pPr>
    </w:p>
    <w:p w:rsidR="001540BD" w:rsidRDefault="001540BD" w:rsidP="001540BD">
      <w:pPr>
        <w:jc w:val="center"/>
        <w:rPr>
          <w:b/>
          <w:color w:val="FF0000"/>
          <w:sz w:val="72"/>
          <w:szCs w:val="72"/>
        </w:rPr>
      </w:pPr>
    </w:p>
    <w:p w:rsidR="001540BD" w:rsidRPr="001540BD" w:rsidRDefault="001540BD" w:rsidP="001540BD">
      <w:pPr>
        <w:jc w:val="center"/>
        <w:rPr>
          <w:rFonts w:ascii="Gabriola" w:hAnsi="Gabriola"/>
          <w:b/>
          <w:color w:val="FF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540BD" w:rsidRPr="001540BD" w:rsidRDefault="001540BD" w:rsidP="001540BD">
      <w:pPr>
        <w:jc w:val="center"/>
        <w:rPr>
          <w:rFonts w:ascii="Gabriola" w:hAnsi="Gabriola"/>
          <w:b/>
          <w:color w:val="FF0000"/>
          <w:sz w:val="72"/>
          <w:szCs w:val="72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540BD">
        <w:rPr>
          <w:rFonts w:ascii="Gabriola" w:hAnsi="Gabriola"/>
          <w:b/>
          <w:color w:val="FF0000"/>
          <w:sz w:val="72"/>
          <w:szCs w:val="72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Образовательная программа </w:t>
      </w:r>
    </w:p>
    <w:p w:rsidR="001540BD" w:rsidRPr="001540BD" w:rsidRDefault="001540BD" w:rsidP="001540BD">
      <w:pPr>
        <w:jc w:val="center"/>
        <w:rPr>
          <w:rFonts w:ascii="Gabriola" w:hAnsi="Gabriola"/>
          <w:b/>
          <w:color w:val="7030A0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540BD">
        <w:rPr>
          <w:rFonts w:ascii="Gabriola" w:hAnsi="Gabriola"/>
          <w:b/>
          <w:color w:val="7030A0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спортивной секции «Мини - футбол»</w:t>
      </w:r>
    </w:p>
    <w:p w:rsidR="001540BD" w:rsidRPr="001540BD" w:rsidRDefault="001540BD" w:rsidP="001540BD">
      <w:pPr>
        <w:jc w:val="center"/>
        <w:rPr>
          <w:rFonts w:ascii="Gabriola" w:hAnsi="Gabriola"/>
          <w:b/>
          <w:sz w:val="36"/>
          <w:szCs w:val="36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540BD" w:rsidRPr="001540BD" w:rsidRDefault="001540BD" w:rsidP="001540BD">
      <w:pPr>
        <w:jc w:val="center"/>
        <w:rPr>
          <w:rFonts w:ascii="Gabriola" w:hAnsi="Gabriola"/>
          <w:b/>
          <w:sz w:val="36"/>
          <w:szCs w:val="36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540BD">
        <w:rPr>
          <w:rFonts w:ascii="Gabriola" w:hAnsi="Gabriola"/>
          <w:b/>
          <w:sz w:val="36"/>
          <w:szCs w:val="36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Срок реализации 1 год</w:t>
      </w:r>
    </w:p>
    <w:p w:rsidR="001540BD" w:rsidRPr="001540BD" w:rsidRDefault="001540BD" w:rsidP="001540BD">
      <w:pPr>
        <w:jc w:val="center"/>
        <w:rPr>
          <w:rFonts w:ascii="Gabriola" w:hAnsi="Gabriola"/>
          <w:b/>
          <w:sz w:val="40"/>
          <w:szCs w:val="40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540BD" w:rsidRPr="001540BD" w:rsidRDefault="001540BD" w:rsidP="001540BD">
      <w:pPr>
        <w:jc w:val="center"/>
        <w:rPr>
          <w:rFonts w:ascii="Gabriola" w:hAnsi="Gabriola"/>
          <w:b/>
          <w:sz w:val="36"/>
          <w:szCs w:val="36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540BD">
        <w:rPr>
          <w:rFonts w:ascii="Gabriola" w:hAnsi="Gabriola"/>
          <w:b/>
          <w:sz w:val="36"/>
          <w:szCs w:val="36"/>
          <w14:glow w14:rad="101600">
            <w14:srgbClr w14:val="FFFF00">
              <w14:alpha w14:val="40000"/>
            </w14:srgb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Количество участников – 15 </w:t>
      </w:r>
    </w:p>
    <w:p w:rsidR="001540BD" w:rsidRPr="001540BD" w:rsidRDefault="001540BD" w:rsidP="001540BD">
      <w:pPr>
        <w:rPr>
          <w:rFonts w:ascii="Gabriola" w:hAnsi="Gabriola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540BD" w:rsidRDefault="001540BD" w:rsidP="001540BD">
      <w:pPr>
        <w:jc w:val="center"/>
        <w:rPr>
          <w:b/>
          <w:sz w:val="28"/>
          <w:szCs w:val="28"/>
        </w:rPr>
      </w:pPr>
    </w:p>
    <w:p w:rsidR="001540BD" w:rsidRDefault="001540BD" w:rsidP="001540BD">
      <w:pPr>
        <w:jc w:val="center"/>
        <w:rPr>
          <w:b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1540BD" w:rsidRDefault="001540BD" w:rsidP="001540BD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воспитывая личность, способную к самостоятельной, творческой деятельности. </w:t>
      </w:r>
    </w:p>
    <w:p w:rsidR="001540BD" w:rsidRDefault="001540BD" w:rsidP="001540BD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создана на основе курса обучения игре в мини-футбол.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 </w:t>
      </w:r>
    </w:p>
    <w:p w:rsidR="001540BD" w:rsidRDefault="001540BD" w:rsidP="001540BD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решает основные задачи физического воспитания:</w:t>
      </w:r>
    </w:p>
    <w:p w:rsidR="001540BD" w:rsidRDefault="001540BD" w:rsidP="001540B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1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и повышение работоспособности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1540BD" w:rsidRDefault="001540BD" w:rsidP="001540B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1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школьников морально-нравственных качеств; </w:t>
      </w:r>
    </w:p>
    <w:p w:rsidR="001540BD" w:rsidRDefault="001540BD" w:rsidP="001540B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1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основных двигательных качеств. </w:t>
      </w:r>
    </w:p>
    <w:p w:rsidR="001540BD" w:rsidRDefault="001540BD" w:rsidP="001540BD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программы дается в четырех разделах: </w:t>
      </w:r>
    </w:p>
    <w:p w:rsidR="001540BD" w:rsidRDefault="001540BD" w:rsidP="00154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Основы знаний </w:t>
      </w:r>
    </w:p>
    <w:p w:rsidR="001540BD" w:rsidRDefault="001540BD" w:rsidP="00154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Общая физическая подготовка </w:t>
      </w:r>
    </w:p>
    <w:p w:rsidR="001540BD" w:rsidRDefault="001540BD" w:rsidP="00154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Специальная подготовка </w:t>
      </w:r>
    </w:p>
    <w:p w:rsidR="001540BD" w:rsidRDefault="001540BD" w:rsidP="001540BD">
      <w:pPr>
        <w:pStyle w:val="a4"/>
      </w:pPr>
      <w:r>
        <w:rPr>
          <w:sz w:val="28"/>
          <w:szCs w:val="28"/>
        </w:rPr>
        <w:t>4. Примерные показатели двигательной подготовленности</w:t>
      </w:r>
      <w:r>
        <w:t xml:space="preserve">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«Общая физическая подготовка» даны упражнения и другие необходимые действия, которые способствуют формированию общей культуры движений, развивают определенные двигательные качества.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«Специальная подготовка» представлен материал по баскетболу, способствующий обучению школьников техническим и тактическим приемам.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«Примерные показатели двигательной подготовленности» приведены упражнения и тесты, помогающие следить за уровнем подготовленности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задач обучения зависит от подбора подводящих упражнений, четкого и доступного объяснения разучиваемых двигательных действий, широкого использования наглядных пособий и технических средств обучения. </w:t>
      </w: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учет.</w:t>
      </w: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Учебно-тренировочные занятия в спортивной секции «Мини-футбол» проводятся круглогодично согласно плану работы. Планирование занятий строится на основе учебных материалов, изложенных в данной программе. При планировании необходимо учитывать местные климатические условия. Примерное количество занятий в неделю для групп новичков составляет три занятия по два часа. Численный состав группы 15-20 человек. </w:t>
      </w:r>
    </w:p>
    <w:p w:rsidR="001540BD" w:rsidRDefault="001540BD" w:rsidP="001540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Секция проводится в форме организованного урока по общепринятой схеме согласно расписанию. </w:t>
      </w:r>
    </w:p>
    <w:p w:rsidR="001540BD" w:rsidRDefault="001540BD" w:rsidP="001540BD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группы новичков: </w:t>
      </w:r>
    </w:p>
    <w:p w:rsidR="001540BD" w:rsidRDefault="001540BD" w:rsidP="00154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укрепление здоровья, повышение всестороннего физического развития,</w:t>
      </w:r>
    </w:p>
    <w:p w:rsidR="001540BD" w:rsidRDefault="001540BD" w:rsidP="00154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привитие интереса к занятиям по мини-футболу </w:t>
      </w:r>
    </w:p>
    <w:p w:rsidR="001540BD" w:rsidRDefault="001540BD" w:rsidP="00154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спортивного трудолюбия и волевых качеств </w:t>
      </w:r>
    </w:p>
    <w:p w:rsidR="001540BD" w:rsidRDefault="001540BD" w:rsidP="00154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основных приемов техники игры и простейших тактических действий в нападении и защите </w:t>
      </w:r>
    </w:p>
    <w:p w:rsidR="001540BD" w:rsidRDefault="001540BD" w:rsidP="00154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приобретение начального опыта участия в соревнованиях.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документами учета является журнал работы детского объединения и дневник педагога дополнительного образования. </w:t>
      </w: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содержание работы </w:t>
      </w: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периодам годичных тренировочных циклов.</w:t>
      </w:r>
    </w:p>
    <w:p w:rsidR="001540BD" w:rsidRDefault="001540BD" w:rsidP="001540BD">
      <w:pPr>
        <w:pStyle w:val="a4"/>
        <w:ind w:firstLine="851"/>
        <w:jc w:val="center"/>
        <w:rPr>
          <w:b/>
          <w:bCs/>
          <w:sz w:val="28"/>
          <w:szCs w:val="28"/>
        </w:rPr>
      </w:pP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</w:t>
      </w:r>
      <w:r>
        <w:rPr>
          <w:b/>
          <w:bCs/>
          <w:i/>
          <w:iCs/>
          <w:sz w:val="28"/>
          <w:szCs w:val="28"/>
        </w:rPr>
        <w:t xml:space="preserve">подготовительного периода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подготовить команду к успешному выступлению в предстоящих соревнованиях. В ходе занятий проводится комплектование игроков в состав команды, отрабатываются новые приемы техники и тактики, которые намечается применять в соревновательном периоде.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подготовительного периода основное внимание уделяется ОФП и СИФ. ОФП и СФП на данном этапе отводится около </w:t>
      </w:r>
      <w:r>
        <w:rPr>
          <w:rFonts w:ascii="Helvetica, sans-serif" w:hAnsi="Helvetica, sans-serif"/>
          <w:iCs/>
          <w:sz w:val="28"/>
          <w:szCs w:val="28"/>
        </w:rPr>
        <w:t>60-65%</w:t>
      </w:r>
      <w:r>
        <w:rPr>
          <w:rFonts w:ascii="Helvetica, sans-serif" w:hAnsi="Helvetica, sans-serif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 от каждого занятия; технической подготовке —25-30% и тактической подготовке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10-15% времени.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подготовки: ОРУ без предметов, с предметами и на снарядах, ходьба, бег, волейбол, футбол. Этап пред соревновательной подготовки ставит своей задачей приобретение спортивной формы. На этом этапе проходит совершенствование специальной физической и технической подготовки, налаживание тактических взаимодействий против различных систем нападения и защиты.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подготовки данного периода: специальные комбинированные упражнения, приближенные к условиям соревнований, учебно-тренировочные двусторонние игры.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подготовительного периода тактическая подготовка занимает 50-55% времени. На техническую подготовку отводится 30-35%, а на физическую — 1-15% времени.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Соревновательный период </w:t>
      </w:r>
      <w:r>
        <w:rPr>
          <w:sz w:val="28"/>
          <w:szCs w:val="28"/>
        </w:rPr>
        <w:t xml:space="preserve">начинается с участия команд в официальных календарных соревнованиях.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данного периода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успешное участие в соревнованиях. Особое внимание уделяется совершенствованию технического и тактического мастерства игроков. </w:t>
      </w:r>
    </w:p>
    <w:p w:rsidR="001540BD" w:rsidRDefault="001540BD" w:rsidP="001540B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средства: специальные упражнения для развития физических качеств, приближенных к игровой обстановке, упражнения в тактических действиях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индивидуальных, групповых, командных. </w:t>
      </w:r>
    </w:p>
    <w:p w:rsidR="001540BD" w:rsidRDefault="001540BD" w:rsidP="001540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задачей </w:t>
      </w:r>
      <w:r>
        <w:rPr>
          <w:b/>
          <w:bCs/>
          <w:i/>
          <w:iCs/>
          <w:sz w:val="28"/>
          <w:szCs w:val="28"/>
        </w:rPr>
        <w:t xml:space="preserve">переходного периода </w:t>
      </w:r>
      <w:r>
        <w:rPr>
          <w:sz w:val="28"/>
          <w:szCs w:val="28"/>
        </w:rPr>
        <w:t xml:space="preserve">является поддержание достигнутого уровня общей и специальной физической подготовленности, постепенное снижение нагрузки и планомерный переход к занятиям и упражнениям из других видов спорта. </w:t>
      </w:r>
    </w:p>
    <w:p w:rsidR="001540BD" w:rsidRDefault="001540BD" w:rsidP="001540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средствами данного периода являются упражнения общей </w:t>
      </w:r>
    </w:p>
    <w:p w:rsidR="001540BD" w:rsidRDefault="001540BD" w:rsidP="00154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специальной физической подготовленности  небольшой интенсивностью, </w:t>
      </w:r>
    </w:p>
    <w:p w:rsidR="001540BD" w:rsidRDefault="001540BD" w:rsidP="00154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общей и специальной физической подготовленности с небольшой интенсивностью, упражнения по нормативам, прогулки, походы.</w:t>
      </w:r>
    </w:p>
    <w:p w:rsidR="001540BD" w:rsidRDefault="001540BD" w:rsidP="001540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каждого периода и этапа подготовки изменяется</w:t>
      </w:r>
    </w:p>
    <w:p w:rsidR="001540BD" w:rsidRDefault="001540BD" w:rsidP="00154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календаря соревнований, условий занятий и подготовленности обучающихся. </w:t>
      </w:r>
    </w:p>
    <w:p w:rsidR="001540BD" w:rsidRDefault="001540BD" w:rsidP="00154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  <w:bookmarkStart w:id="0" w:name="_GoBack"/>
      <w:bookmarkEnd w:id="0"/>
    </w:p>
    <w:p w:rsidR="001540BD" w:rsidRDefault="001540BD" w:rsidP="001540BD">
      <w:pPr>
        <w:jc w:val="both"/>
      </w:pPr>
    </w:p>
    <w:p w:rsidR="001540BD" w:rsidRDefault="001540BD" w:rsidP="001540BD">
      <w:pPr>
        <w:jc w:val="both"/>
      </w:pPr>
    </w:p>
    <w:p w:rsidR="001540BD" w:rsidRDefault="001540BD" w:rsidP="001540BD">
      <w:pPr>
        <w:tabs>
          <w:tab w:val="center" w:pos="4677"/>
          <w:tab w:val="left" w:pos="765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Календарно – тематический план</w:t>
      </w:r>
      <w:r>
        <w:rPr>
          <w:b/>
          <w:sz w:val="32"/>
          <w:szCs w:val="32"/>
        </w:rPr>
        <w:tab/>
      </w:r>
    </w:p>
    <w:p w:rsidR="001540BD" w:rsidRDefault="001540BD" w:rsidP="00154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спортивной секции «Мини – футбол»</w:t>
      </w:r>
    </w:p>
    <w:p w:rsidR="001540BD" w:rsidRDefault="001540BD" w:rsidP="00154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(один год обучения)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08"/>
        <w:gridCol w:w="2170"/>
        <w:gridCol w:w="2001"/>
        <w:gridCol w:w="1194"/>
        <w:gridCol w:w="674"/>
      </w:tblGrid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Тематика занятий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</w:t>
            </w:r>
          </w:p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теоретических</w:t>
            </w:r>
          </w:p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</w:t>
            </w:r>
          </w:p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практических</w:t>
            </w:r>
          </w:p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занятиях по баскетболу.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передаче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передаче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остановке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остановке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передаче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остановке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передаче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остановки мяча бедром.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ударам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удара мяча.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удару мяча слета.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удара мяча с лета.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остановке мяча после отскока.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удару мяча головой.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удара мяча головой.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отбору мяча у соперника.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отбору мяча у соперника.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розыгрышу мяча в стандартных положениях (штрафной).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розыгрышу мяча в стандартных положениях (штрафной).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розыгрышу мяча в стандартных положениях </w:t>
            </w:r>
            <w:r>
              <w:rPr>
                <w:sz w:val="28"/>
                <w:szCs w:val="28"/>
              </w:rPr>
              <w:lastRenderedPageBreak/>
              <w:t>(штрафной).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розыгрыша мяча в стандартных положениях.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исполнения технических элементов.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 мяча по воротам.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ударов мяча по воротам.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мини футболу.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мини футболу.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мини футболу.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мини футболу.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футболу.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</w:p>
        </w:tc>
      </w:tr>
      <w:tr w:rsidR="001540BD" w:rsidTr="001540B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час.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D" w:rsidRDefault="00154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час.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D" w:rsidRDefault="001540BD">
            <w:pPr>
              <w:rPr>
                <w:sz w:val="28"/>
                <w:szCs w:val="28"/>
              </w:rPr>
            </w:pPr>
          </w:p>
        </w:tc>
      </w:tr>
    </w:tbl>
    <w:p w:rsidR="001540BD" w:rsidRDefault="001540BD" w:rsidP="001540BD"/>
    <w:p w:rsidR="001540BD" w:rsidRDefault="001540BD" w:rsidP="001540BD">
      <w:pPr>
        <w:jc w:val="both"/>
      </w:pPr>
    </w:p>
    <w:p w:rsidR="001B4ACD" w:rsidRDefault="001B4ACD"/>
    <w:sectPr w:rsidR="001B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532"/>
    <w:multiLevelType w:val="hybridMultilevel"/>
    <w:tmpl w:val="D8885F64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>
    <w:nsid w:val="2BB44386"/>
    <w:multiLevelType w:val="hybridMultilevel"/>
    <w:tmpl w:val="51F8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BD"/>
    <w:rsid w:val="001540BD"/>
    <w:rsid w:val="001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40B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5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40B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5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Яничева</dc:creator>
  <cp:lastModifiedBy>Яничева</cp:lastModifiedBy>
  <cp:revision>1</cp:revision>
  <dcterms:created xsi:type="dcterms:W3CDTF">2012-07-08T15:45:00Z</dcterms:created>
  <dcterms:modified xsi:type="dcterms:W3CDTF">2012-07-08T15:48:00Z</dcterms:modified>
</cp:coreProperties>
</file>