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68" w:rsidRDefault="00C71168" w:rsidP="00B05660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  <w:r w:rsidRPr="00C7116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  <w:t>униципальное бюджетное образовательное учреждение</w:t>
      </w:r>
    </w:p>
    <w:p w:rsidR="00C71168" w:rsidRDefault="00C71168" w:rsidP="00B05660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  <w:t xml:space="preserve"> д/с №34 комбинированного вида</w:t>
      </w:r>
    </w:p>
    <w:p w:rsidR="00C71168" w:rsidRDefault="00C71168" w:rsidP="00B05660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B05660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B05660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B05660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B05660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B05660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B05660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B05660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B05660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Pr="00C71168" w:rsidRDefault="00C71168" w:rsidP="00B05660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Pr="00C71168" w:rsidRDefault="00C71168" w:rsidP="00C71168">
      <w:pPr>
        <w:spacing w:after="0" w:line="240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  <w:r w:rsidRPr="00C7116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  <w:t xml:space="preserve">Выступление по теме: </w:t>
      </w:r>
      <w:r w:rsidR="009A608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  <w:t>«</w:t>
      </w:r>
      <w:r w:rsidRPr="00C7116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  <w:t xml:space="preserve">Реализация образовательных областей </w:t>
      </w:r>
    </w:p>
    <w:p w:rsidR="00C71168" w:rsidRPr="00C71168" w:rsidRDefault="00C71168" w:rsidP="00C71168">
      <w:pPr>
        <w:spacing w:after="0" w:line="240" w:lineRule="atLeast"/>
        <w:ind w:left="2832" w:right="75"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  <w:r w:rsidRPr="00C7116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  <w:t xml:space="preserve">  в ДОУ в соответствии с ФГТ</w:t>
      </w:r>
      <w:r w:rsidR="009A608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  <w:t>»</w:t>
      </w:r>
      <w:bookmarkStart w:id="0" w:name="_GoBack"/>
      <w:bookmarkEnd w:id="0"/>
    </w:p>
    <w:p w:rsidR="00C71168" w:rsidRPr="00C71168" w:rsidRDefault="00C71168" w:rsidP="00C71168">
      <w:pPr>
        <w:spacing w:after="0" w:line="240" w:lineRule="atLeast"/>
        <w:ind w:left="2832" w:right="75"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Pr="00C71168" w:rsidRDefault="00C71168" w:rsidP="00C71168">
      <w:pPr>
        <w:spacing w:after="0" w:line="240" w:lineRule="atLeast"/>
        <w:ind w:left="2832" w:right="75"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Pr="00C71168" w:rsidRDefault="00C71168" w:rsidP="00C71168">
      <w:pPr>
        <w:spacing w:after="0" w:line="240" w:lineRule="atLeast"/>
        <w:ind w:left="2832" w:right="75"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Pr="00C71168" w:rsidRDefault="00C71168" w:rsidP="00C71168">
      <w:pPr>
        <w:spacing w:after="0" w:line="240" w:lineRule="atLeast"/>
        <w:ind w:left="2832" w:right="75"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Pr="00C71168" w:rsidRDefault="00C71168" w:rsidP="00C71168">
      <w:pPr>
        <w:spacing w:after="0" w:line="240" w:lineRule="atLeast"/>
        <w:ind w:left="2832" w:right="75"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Pr="00C71168" w:rsidRDefault="00C71168" w:rsidP="00C71168">
      <w:pPr>
        <w:spacing w:after="0" w:line="240" w:lineRule="atLeast"/>
        <w:ind w:left="2832" w:right="75"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Pr="00C71168" w:rsidRDefault="00C71168" w:rsidP="00C71168">
      <w:pPr>
        <w:spacing w:after="0" w:line="240" w:lineRule="atLeast"/>
        <w:ind w:left="2832" w:right="75" w:firstLine="708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Pr="00C71168" w:rsidRDefault="00C71168" w:rsidP="00B05660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72"/>
          <w:bdr w:val="none" w:sz="0" w:space="0" w:color="auto" w:frame="1"/>
          <w:lang w:eastAsia="ru-RU"/>
        </w:rPr>
      </w:pPr>
    </w:p>
    <w:p w:rsidR="00C71168" w:rsidRPr="00C71168" w:rsidRDefault="00C71168" w:rsidP="00B05660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72"/>
          <w:bdr w:val="none" w:sz="0" w:space="0" w:color="auto" w:frame="1"/>
          <w:lang w:eastAsia="ru-RU"/>
        </w:rPr>
      </w:pPr>
    </w:p>
    <w:p w:rsidR="00C71168" w:rsidRPr="00C71168" w:rsidRDefault="00C71168" w:rsidP="00B05660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72"/>
          <w:bdr w:val="none" w:sz="0" w:space="0" w:color="auto" w:frame="1"/>
          <w:lang w:eastAsia="ru-RU"/>
        </w:rPr>
      </w:pPr>
    </w:p>
    <w:p w:rsidR="00C71168" w:rsidRPr="00C71168" w:rsidRDefault="00C71168" w:rsidP="00C71168">
      <w:pPr>
        <w:spacing w:after="0" w:line="240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  <w:r w:rsidRPr="00C7116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  <w:t>Выполнил воспитатель:</w:t>
      </w:r>
    </w:p>
    <w:p w:rsidR="00C71168" w:rsidRDefault="00C71168" w:rsidP="00C71168">
      <w:pPr>
        <w:spacing w:after="0" w:line="240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  <w:r w:rsidRPr="00C7116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  <w:t>Тихонова Е.В.</w:t>
      </w:r>
    </w:p>
    <w:p w:rsidR="00C71168" w:rsidRDefault="00C71168" w:rsidP="00C71168">
      <w:pPr>
        <w:spacing w:after="0" w:line="240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C71168">
      <w:pPr>
        <w:spacing w:after="0" w:line="240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C71168">
      <w:pPr>
        <w:spacing w:after="0" w:line="240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C71168">
      <w:pPr>
        <w:spacing w:after="0" w:line="240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C71168">
      <w:pPr>
        <w:spacing w:after="0" w:line="240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C71168">
      <w:pPr>
        <w:spacing w:after="0" w:line="240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C71168">
      <w:pPr>
        <w:spacing w:after="0" w:line="240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C71168">
      <w:pPr>
        <w:spacing w:after="0" w:line="240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C71168">
      <w:pPr>
        <w:spacing w:after="0" w:line="240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</w:p>
    <w:p w:rsidR="00C71168" w:rsidRDefault="00C71168" w:rsidP="00C71168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  <w:t>2012г.</w:t>
      </w:r>
    </w:p>
    <w:p w:rsidR="00C71168" w:rsidRDefault="00C71168" w:rsidP="00C71168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  <w:t>р.п. Большие Вяземы</w:t>
      </w:r>
    </w:p>
    <w:p w:rsidR="00B05660" w:rsidRPr="00C71168" w:rsidRDefault="00B05660" w:rsidP="00C71168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72"/>
          <w:bdr w:val="none" w:sz="0" w:space="0" w:color="auto" w:frame="1"/>
          <w:lang w:eastAsia="ru-RU"/>
        </w:rPr>
      </w:pPr>
      <w:r w:rsidRPr="00C71168">
        <w:rPr>
          <w:rFonts w:ascii="Comic Sans MS" w:eastAsia="Times New Roman" w:hAnsi="Comic Sans MS" w:cs="Times New Roman"/>
          <w:b/>
          <w:bCs/>
          <w:color w:val="000000" w:themeColor="text1"/>
          <w:sz w:val="72"/>
          <w:szCs w:val="72"/>
          <w:bdr w:val="none" w:sz="0" w:space="0" w:color="auto" w:frame="1"/>
          <w:lang w:eastAsia="ru-RU"/>
        </w:rPr>
        <w:lastRenderedPageBreak/>
        <w:t>Реализация ФГТ в ДОУ</w:t>
      </w:r>
    </w:p>
    <w:p w:rsidR="00B05660" w:rsidRPr="00B05660" w:rsidRDefault="00B05660" w:rsidP="00B05660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56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CD"/>
          <w:sz w:val="30"/>
          <w:szCs w:val="30"/>
          <w:u w:val="single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noProof/>
          <w:color w:val="0000CD"/>
          <w:sz w:val="42"/>
          <w:szCs w:val="42"/>
          <w:bdr w:val="none" w:sz="0" w:space="0" w:color="auto" w:frame="1"/>
          <w:lang w:eastAsia="ru-RU"/>
        </w:rPr>
        <w:drawing>
          <wp:inline distT="0" distB="0" distL="0" distR="0">
            <wp:extent cx="3743325" cy="2216175"/>
            <wp:effectExtent l="0" t="0" r="0" b="0"/>
            <wp:docPr id="3" name="Рисунок 3" descr="http://mdou72.edu.yar.ru/images/130896_1280_1024_w25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72.edu.yar.ru/images/130896_1280_1024_w250_h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646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>«Федеральные государственные образовательные требования» –</w:t>
      </w:r>
    </w:p>
    <w:p w:rsidR="00B05660" w:rsidRPr="00C71168" w:rsidRDefault="00B05660" w:rsidP="00B05660">
      <w:pPr>
        <w:spacing w:before="150"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>нормы и положения, обязательные при реализации</w:t>
      </w:r>
    </w:p>
    <w:p w:rsidR="00B05660" w:rsidRPr="00C71168" w:rsidRDefault="00B05660" w:rsidP="00B05660">
      <w:pPr>
        <w:spacing w:before="150"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>основной общеобразовательной программы дошкольного</w:t>
      </w:r>
    </w:p>
    <w:p w:rsidR="00B05660" w:rsidRPr="00C71168" w:rsidRDefault="00B05660" w:rsidP="00B05660">
      <w:pPr>
        <w:spacing w:before="150"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>образования образовательными учреждениями.</w:t>
      </w:r>
    </w:p>
    <w:p w:rsidR="00B05660" w:rsidRPr="00C71168" w:rsidRDefault="00B05660" w:rsidP="00B05660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«Основные </w:t>
      </w:r>
      <w:r w:rsidRPr="00C71168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4  направления</w:t>
      </w: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развития ребенка» – интегральные компоненты содержания дошкольного образования: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социально-личностное,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познавательно-речевое,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физическое,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художественно-эстетическое развитие.          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10 образовательных областей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</w:t>
      </w:r>
      <w:r w:rsidRPr="00C71168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«Образовательная область» </w:t>
      </w: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– структурно-смысловая единица содержания дошкольного образования, определяющая адекватные дошкольному возрасту сферы образовательной деятельности детей.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Образовательные области, выделенные  в ФГТ: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здоровье,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физическая культура,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социализация, труд,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безопасность,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чтение художественной литературы,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коммуникация,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познание,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музыка,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художественное творчество.</w:t>
      </w:r>
    </w:p>
    <w:p w:rsidR="00B05660" w:rsidRPr="00C71168" w:rsidRDefault="00B05660" w:rsidP="00B05660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lastRenderedPageBreak/>
        <w:t>Наряду с традиционными областями,  в ФГТ представлены нетрадиционные области, хотя их «нетрадиционность»  весьма условна.   </w:t>
      </w:r>
    </w:p>
    <w:p w:rsidR="00B05660" w:rsidRPr="00C71168" w:rsidRDefault="00B05660" w:rsidP="00B05660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Например, область «Безопасность» уже в  течение многих лет реализуется в детских садах. «Художественное творчество» объединяет в себе традиционные виды продуктивной деятельности детей: аппликацию лепку, рисование, художественное конструирование. Образовательная область «Коммуникация» – это не только и не столько развитие речи, сколько развитие общения, в том числе и речевого. В этом случае развитие словаря, воспитание ЗКР, связной речи, грамматического строя являются не самоцелями, а средствами развития навыков общения.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     В новых ФГТ использована наиболее современная и полная типология детских деятельностей. Каждая образовательная область направлена на развитие какой-либо детской деятельности. В каждой образовательной области помимо общеразвивающих задач выделены специфические задачи психолого-педагогической работы.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  ФГТ устанавливают принципиально иной способ взаимодействия и взаимосвязи компонентов основных общеобразовательных программ дошкольного образования – на основе принципа интеграции образовательных областей, представляющем собой альтернативу предметному принципу. (основополагающий принцип – интеграции образовательных областей)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  В современной практике дошкольного образования методика проведения интегрированных занятий достаточно разработана и многие дошкольные учреждения используют ее.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                        Возникает вопрос: что меняется в дошкольном образовании с введением ФГТ ?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    Для системы дошкольного образования установлены Федеральные государственные требования, а не Федеральный государственный стандарт. В настоящее время разработанные и утвержденные только ФГТ к структуре основной общеобразовательной программы дошкольного образования, в которых определены обязательные образовательные области и основные задачи образовательных областей.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     Изменения такого рода предполагает изменение подходов к организации воспитательно-образовательного процесса: в данном случае не через систему занятий, а через другие, адекватные формы образовательной работы с детьми дошкольного возраста.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    Игровой деятельности, как форме организации детской деятельности, отводится особая роль. Игра – это ведущая деятельность ребенка, посредством которой он органично развивается, познает очень важный пласт человеческой культуры – взаимоотношение между взрослыми людьми – в семье, их профессиональной деятельности и т. д.</w:t>
      </w:r>
    </w:p>
    <w:p w:rsidR="00B05660" w:rsidRPr="00C71168" w:rsidRDefault="00B05660" w:rsidP="00B05660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lastRenderedPageBreak/>
        <w:t>      </w:t>
      </w:r>
      <w:r w:rsidRPr="00C71168">
        <w:rPr>
          <w:rFonts w:ascii="Comic Sans MS" w:eastAsia="Times New Roman" w:hAnsi="Comic Sans MS" w:cs="Times New Roman"/>
          <w:b/>
          <w:bCs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B2D41AB" wp14:editId="223D08F3">
            <wp:extent cx="3333750" cy="2219325"/>
            <wp:effectExtent l="0" t="0" r="0" b="9525"/>
            <wp:docPr id="2" name="Рисунок 2" descr="http://mdou72.edu.yar.ru/images/18_w350_h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72.edu.yar.ru/images/18_w350_h2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168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Таким образом, игра выступает как самая важная деятельность, через которую педагоги решают все образовательные задачи, в том числе и обучение.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     Акцент на совместную деятельность воспитателя и детей, на игровые формы образования дошкольников, на отсутствие жесткой регламентации детской деятельности, учет полоролевых особенностей детей при организации педагогического процесса в детском саду и вносит в содержание программ необходимые изменения.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       Занятия в ФГТ прописаны только в старшем дошкольном возрасте, это не значит, что они не могут проводиться с детьми других возрастов. Но они (занятия) не должны быть приоритетной формой работы с детьми. Образовательные задачи должны решаться  и в ходе режимных моментов, в совместной деятельности детей с педагогом (в том числе и на занятиях), в самостоятельной деятельности детей и  в совместной деятельности с семьей.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Вся образовательная деятельность строится на основе интеграции и тематического планирования.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      Особенности образовательного процесса в соответствии с ФГТ Согласно теории Л.С. Выготского и его последователей, процессы воспитания и обучения не сами по себе непосредственно развивают ребенка, а лишь тогда, когда они имеют деятельностные формы и обладают соответствующим содержанием.   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      В ФГТ содержится указание на то, какие виды деятельности можно считать приемлемыми формами практики для ребенка дошкольного возраста: игровая, коммуникативная, трудовая, двигательная, познавательно-исследовательская, музыкально-художественная, восприятие художественной литературы, как особый вид детской деятельности и продуктивная.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          Специфика дошкольного образования, помимо многих других особенностей, заключается в том, что процесс обучения является, по сути, процессом усвоения в других вида деятельности (под словом других Эльконин имеет ввиду не учебной).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             Схема развития любого вида деятельности такова: сначала она осуществляется в совместной деятельности со взрослым, затем в совместной деятельности со сверстниками и становится самодеятельностью.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lastRenderedPageBreak/>
        <w:t>ФГТ требуют от практиков решать образовательные задачи в процессе: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Совместной деятельности ребенка со взрослым (в ходе режимных моментов; в непосредственно образовательной деятельности, осуществляемой в процессе организации детских видов деятельности и в самостоятельной деятельности детей.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Выделены признаки совместной деятельности взрослых и детей – наличие партнерской позиции взрослого и партнерской формы организации (сотрудничество взрослого и детей, возможность свободного размещения, перемещения и общения детей).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                        Одно из требований программы -  построение образовательного процесса на адекватных возрасту формах работы с детьми.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 тексте ФГТ не употребляется слово занятие. Этот  термин отсутствует, чтобы не спровоцировать понимание термина образовательная деятельность в процессе организации детских видов деятельности в качестве учебной деятельности, основной формой которой в прежней дидактике являлось занятие.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Конечно, занятие в детском саду не отменяется, но в него следует  вкладывать иной смысл: занятие как занимательное дело.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Скоролупова и Федина, разработчики ФГТ, предлагают определенные формы работы с детьми, соответствующие условно каждому виду деятельности: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Двигательная          </w:t>
      </w:r>
    </w:p>
    <w:p w:rsidR="00B05660" w:rsidRPr="00C71168" w:rsidRDefault="00B05660" w:rsidP="00B05660">
      <w:pPr>
        <w:numPr>
          <w:ilvl w:val="0"/>
          <w:numId w:val="1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Подвижные дидактические игры</w:t>
      </w:r>
    </w:p>
    <w:p w:rsidR="00B05660" w:rsidRPr="00C71168" w:rsidRDefault="00B05660" w:rsidP="00B05660">
      <w:pPr>
        <w:numPr>
          <w:ilvl w:val="0"/>
          <w:numId w:val="1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Подвижные игры с правилами</w:t>
      </w:r>
    </w:p>
    <w:p w:rsidR="00B05660" w:rsidRPr="00C71168" w:rsidRDefault="00B05660" w:rsidP="00B05660">
      <w:pPr>
        <w:numPr>
          <w:ilvl w:val="0"/>
          <w:numId w:val="1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Игровые упражнения</w:t>
      </w:r>
    </w:p>
    <w:p w:rsidR="00B05660" w:rsidRPr="00C71168" w:rsidRDefault="00B05660" w:rsidP="00B05660">
      <w:pPr>
        <w:numPr>
          <w:ilvl w:val="0"/>
          <w:numId w:val="1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Соревнования</w:t>
      </w:r>
    </w:p>
    <w:p w:rsidR="00B05660" w:rsidRPr="00C71168" w:rsidRDefault="00B05660" w:rsidP="00B05660">
      <w:pPr>
        <w:numPr>
          <w:ilvl w:val="0"/>
          <w:numId w:val="1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Игровая        </w:t>
      </w:r>
    </w:p>
    <w:p w:rsidR="00B05660" w:rsidRPr="00C71168" w:rsidRDefault="00B05660" w:rsidP="00B05660">
      <w:pPr>
        <w:numPr>
          <w:ilvl w:val="0"/>
          <w:numId w:val="1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Сюжетные игры</w:t>
      </w:r>
    </w:p>
    <w:p w:rsidR="00B05660" w:rsidRPr="00C71168" w:rsidRDefault="00B05660" w:rsidP="00B05660">
      <w:pPr>
        <w:numPr>
          <w:ilvl w:val="0"/>
          <w:numId w:val="1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Игры с правилами</w:t>
      </w:r>
    </w:p>
    <w:p w:rsidR="00B05660" w:rsidRPr="00C71168" w:rsidRDefault="00B05660" w:rsidP="00B05660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Продуктивная          </w:t>
      </w:r>
    </w:p>
    <w:p w:rsidR="00B05660" w:rsidRPr="00C71168" w:rsidRDefault="00B05660" w:rsidP="00B05660">
      <w:pPr>
        <w:numPr>
          <w:ilvl w:val="0"/>
          <w:numId w:val="2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Мастерская по изготовлению продуктов детского творчества</w:t>
      </w:r>
    </w:p>
    <w:p w:rsidR="00B05660" w:rsidRPr="00C71168" w:rsidRDefault="00B05660" w:rsidP="00B05660">
      <w:pPr>
        <w:numPr>
          <w:ilvl w:val="0"/>
          <w:numId w:val="2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Реализация проектов</w:t>
      </w:r>
    </w:p>
    <w:p w:rsidR="00B05660" w:rsidRPr="00C71168" w:rsidRDefault="00B05660" w:rsidP="00B05660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Коммуникативная   </w:t>
      </w:r>
    </w:p>
    <w:p w:rsidR="00B05660" w:rsidRPr="00C71168" w:rsidRDefault="00B05660" w:rsidP="00B05660">
      <w:pPr>
        <w:numPr>
          <w:ilvl w:val="0"/>
          <w:numId w:val="3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Беседа ситуативный разговор</w:t>
      </w:r>
    </w:p>
    <w:p w:rsidR="00B05660" w:rsidRPr="00C71168" w:rsidRDefault="00B05660" w:rsidP="00B05660">
      <w:pPr>
        <w:numPr>
          <w:ilvl w:val="0"/>
          <w:numId w:val="3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Речевая ситуация</w:t>
      </w:r>
    </w:p>
    <w:p w:rsidR="00B05660" w:rsidRPr="00C71168" w:rsidRDefault="00B05660" w:rsidP="00B05660">
      <w:pPr>
        <w:numPr>
          <w:ilvl w:val="0"/>
          <w:numId w:val="3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Составление отгадывание загадок</w:t>
      </w:r>
    </w:p>
    <w:p w:rsidR="00B05660" w:rsidRPr="00C71168" w:rsidRDefault="00B05660" w:rsidP="00B05660">
      <w:pPr>
        <w:numPr>
          <w:ilvl w:val="0"/>
          <w:numId w:val="3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Сюжетные игры</w:t>
      </w:r>
    </w:p>
    <w:p w:rsidR="00B05660" w:rsidRPr="00C71168" w:rsidRDefault="00B05660" w:rsidP="00B05660">
      <w:pPr>
        <w:numPr>
          <w:ilvl w:val="0"/>
          <w:numId w:val="3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Игры с правилами</w:t>
      </w:r>
    </w:p>
    <w:p w:rsidR="00B05660" w:rsidRPr="00C71168" w:rsidRDefault="00B05660" w:rsidP="00B05660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Трудовая       </w:t>
      </w:r>
    </w:p>
    <w:p w:rsidR="00B05660" w:rsidRPr="00C71168" w:rsidRDefault="00B05660" w:rsidP="00B05660">
      <w:pPr>
        <w:numPr>
          <w:ilvl w:val="0"/>
          <w:numId w:val="4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Совместные действия</w:t>
      </w:r>
    </w:p>
    <w:p w:rsidR="00B05660" w:rsidRPr="00C71168" w:rsidRDefault="00B05660" w:rsidP="00B05660">
      <w:pPr>
        <w:numPr>
          <w:ilvl w:val="0"/>
          <w:numId w:val="4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Дежурство</w:t>
      </w:r>
    </w:p>
    <w:p w:rsidR="00B05660" w:rsidRPr="00C71168" w:rsidRDefault="00B05660" w:rsidP="00B05660">
      <w:pPr>
        <w:numPr>
          <w:ilvl w:val="0"/>
          <w:numId w:val="4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Поручение</w:t>
      </w:r>
    </w:p>
    <w:p w:rsidR="00B05660" w:rsidRPr="00C71168" w:rsidRDefault="00B05660" w:rsidP="00B05660">
      <w:pPr>
        <w:numPr>
          <w:ilvl w:val="0"/>
          <w:numId w:val="4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lastRenderedPageBreak/>
        <w:t>Реализация проекта</w:t>
      </w:r>
    </w:p>
    <w:p w:rsidR="00B05660" w:rsidRPr="00C71168" w:rsidRDefault="00B05660" w:rsidP="00B05660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Познавательно-исследовательская           </w:t>
      </w:r>
    </w:p>
    <w:p w:rsidR="00B05660" w:rsidRPr="00C71168" w:rsidRDefault="00B05660" w:rsidP="00B05660">
      <w:pPr>
        <w:numPr>
          <w:ilvl w:val="0"/>
          <w:numId w:val="5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Наблюдение</w:t>
      </w:r>
    </w:p>
    <w:p w:rsidR="00B05660" w:rsidRPr="00C71168" w:rsidRDefault="00B05660" w:rsidP="00B05660">
      <w:pPr>
        <w:numPr>
          <w:ilvl w:val="0"/>
          <w:numId w:val="5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Экскурсии</w:t>
      </w:r>
    </w:p>
    <w:p w:rsidR="00B05660" w:rsidRPr="00C71168" w:rsidRDefault="00B05660" w:rsidP="00B05660">
      <w:pPr>
        <w:numPr>
          <w:ilvl w:val="0"/>
          <w:numId w:val="5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Решение проблемных ситуаций</w:t>
      </w:r>
    </w:p>
    <w:p w:rsidR="00B05660" w:rsidRPr="00C71168" w:rsidRDefault="00B05660" w:rsidP="00B05660">
      <w:pPr>
        <w:numPr>
          <w:ilvl w:val="0"/>
          <w:numId w:val="5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Экспериментирование</w:t>
      </w:r>
    </w:p>
    <w:p w:rsidR="00B05660" w:rsidRPr="00C71168" w:rsidRDefault="00B05660" w:rsidP="00B05660">
      <w:pPr>
        <w:numPr>
          <w:ilvl w:val="0"/>
          <w:numId w:val="5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Коллекционирование</w:t>
      </w:r>
    </w:p>
    <w:p w:rsidR="00B05660" w:rsidRPr="00C71168" w:rsidRDefault="00B05660" w:rsidP="00B05660">
      <w:pPr>
        <w:numPr>
          <w:ilvl w:val="0"/>
          <w:numId w:val="5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Моделирование</w:t>
      </w:r>
    </w:p>
    <w:p w:rsidR="00B05660" w:rsidRPr="00C71168" w:rsidRDefault="00B05660" w:rsidP="00B05660">
      <w:pPr>
        <w:numPr>
          <w:ilvl w:val="0"/>
          <w:numId w:val="5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Реализация проекта</w:t>
      </w:r>
    </w:p>
    <w:p w:rsidR="00B05660" w:rsidRPr="00C71168" w:rsidRDefault="00B05660" w:rsidP="00B05660">
      <w:pPr>
        <w:numPr>
          <w:ilvl w:val="0"/>
          <w:numId w:val="5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Игры с правилами</w:t>
      </w:r>
    </w:p>
    <w:p w:rsidR="00B05660" w:rsidRPr="00C71168" w:rsidRDefault="00B05660" w:rsidP="00B05660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Музыкально-художественная        </w:t>
      </w:r>
    </w:p>
    <w:p w:rsidR="00B05660" w:rsidRPr="00C71168" w:rsidRDefault="00B05660" w:rsidP="00B05660">
      <w:pPr>
        <w:numPr>
          <w:ilvl w:val="0"/>
          <w:numId w:val="6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Слушание</w:t>
      </w:r>
    </w:p>
    <w:p w:rsidR="00B05660" w:rsidRPr="00C71168" w:rsidRDefault="00B05660" w:rsidP="00B05660">
      <w:pPr>
        <w:numPr>
          <w:ilvl w:val="0"/>
          <w:numId w:val="6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Исполнение</w:t>
      </w:r>
    </w:p>
    <w:p w:rsidR="00B05660" w:rsidRPr="00C71168" w:rsidRDefault="00B05660" w:rsidP="00B05660">
      <w:pPr>
        <w:numPr>
          <w:ilvl w:val="0"/>
          <w:numId w:val="6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Импровизация</w:t>
      </w:r>
    </w:p>
    <w:p w:rsidR="00B05660" w:rsidRPr="00C71168" w:rsidRDefault="00B05660" w:rsidP="00B05660">
      <w:pPr>
        <w:numPr>
          <w:ilvl w:val="0"/>
          <w:numId w:val="6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Экспериментирование</w:t>
      </w:r>
    </w:p>
    <w:p w:rsidR="00B05660" w:rsidRPr="00C71168" w:rsidRDefault="00B05660" w:rsidP="00B05660">
      <w:pPr>
        <w:numPr>
          <w:ilvl w:val="0"/>
          <w:numId w:val="6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Музыкально-дидактические игры</w:t>
      </w:r>
    </w:p>
    <w:p w:rsidR="00B05660" w:rsidRPr="00C71168" w:rsidRDefault="00B05660" w:rsidP="00B05660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Чтение художественной литературы        </w:t>
      </w:r>
    </w:p>
    <w:p w:rsidR="00B05660" w:rsidRPr="00C71168" w:rsidRDefault="00B05660" w:rsidP="00B05660">
      <w:pPr>
        <w:numPr>
          <w:ilvl w:val="0"/>
          <w:numId w:val="7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Чтение</w:t>
      </w:r>
    </w:p>
    <w:p w:rsidR="00B05660" w:rsidRPr="00C71168" w:rsidRDefault="00B05660" w:rsidP="00B05660">
      <w:pPr>
        <w:numPr>
          <w:ilvl w:val="0"/>
          <w:numId w:val="7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Обсуждение</w:t>
      </w:r>
    </w:p>
    <w:p w:rsidR="00B05660" w:rsidRPr="00C71168" w:rsidRDefault="00B05660" w:rsidP="00B05660">
      <w:pPr>
        <w:numPr>
          <w:ilvl w:val="0"/>
          <w:numId w:val="7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Разучивание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Малоизученным и очень актуальным остается вопрос о временном дозировании детских видов деятельности и конкретных форм работы. К сожалению, и в новых СаНПин этот вопрос затрагивается частично.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 Таким образом, ФГТ в дошкольном образовании направлено на создание оптимальных условий для развития детей дошкольного возраста в современных условиях, реализации права ребенка на доступное, качественное образование.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</w:t>
      </w:r>
      <w:r w:rsidRPr="00C71168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«Самостоятельная деятельность детей» </w:t>
      </w: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– одна из основных моделей организации образовательного процесса детей дошкольного возраста: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  деятельности по интересам и позволяющая ему взаимодействовать со сверстниками или действовать индивидуально;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2) организованная воспитателем деятельность воспитанников, направленная  на решение задач, связанных с интересами  других людей (эмоциональное благополучие других людей, помощь другим в быту и др.).</w:t>
      </w:r>
    </w:p>
    <w:p w:rsidR="00B05660" w:rsidRPr="00C71168" w:rsidRDefault="00B05660" w:rsidP="00B05660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Comic Sans MS" w:eastAsia="Times New Roman" w:hAnsi="Comic Sans MS" w:cs="Times New Roman"/>
          <w:b/>
          <w:bCs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1D2C3A75" wp14:editId="44CB5F83">
            <wp:extent cx="3333750" cy="2209800"/>
            <wp:effectExtent l="0" t="0" r="0" b="0"/>
            <wp:docPr id="1" name="Рисунок 1" descr="http://mdou72.edu.yar.ru/images/otec-i-deti_w350_h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72.edu.yar.ru/images/otec-i-deti_w350_h2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168">
        <w:rPr>
          <w:rFonts w:ascii="Comic Sans MS" w:eastAsia="Times New Roman" w:hAnsi="Comic Sans MS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«Совместная деятельность взрослого и детей»</w:t>
      </w: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– 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(взрослых и воспитанников) по решению образовательных задач  на одном пространстве и в одно и то же время. Отличается наличием партнерской 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фронтальную формы организации работы с воспитанниками. Различают: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непосредственно образовательную деятельность, реализуемую в ходе совместной деятельности взрослого и детей;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совместную деятельность взрослого и детей, осуществляемую в  ходе режимных моментов и направленную на решение образовательных задач;</w:t>
      </w:r>
    </w:p>
    <w:p w:rsidR="00B05660" w:rsidRPr="00C71168" w:rsidRDefault="00B05660" w:rsidP="00B05660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71168">
        <w:rPr>
          <w:rFonts w:ascii="Verdana" w:eastAsia="Times New Roman" w:hAnsi="Verdana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совместную деятельность взрослого и детей, осуществляемую в ходе режимных моментов и направленную на осуществление функций присмотра и (или) ухода.</w:t>
      </w:r>
    </w:p>
    <w:sectPr w:rsidR="00B05660" w:rsidRPr="00C71168" w:rsidSect="00C71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1AB"/>
    <w:multiLevelType w:val="multilevel"/>
    <w:tmpl w:val="E5F6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6D3F24"/>
    <w:multiLevelType w:val="multilevel"/>
    <w:tmpl w:val="2CA2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740700"/>
    <w:multiLevelType w:val="multilevel"/>
    <w:tmpl w:val="8E36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0937D5"/>
    <w:multiLevelType w:val="multilevel"/>
    <w:tmpl w:val="57C0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1169BB"/>
    <w:multiLevelType w:val="multilevel"/>
    <w:tmpl w:val="EEBE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6351B8"/>
    <w:multiLevelType w:val="multilevel"/>
    <w:tmpl w:val="9264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F271A6"/>
    <w:multiLevelType w:val="multilevel"/>
    <w:tmpl w:val="915A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60"/>
    <w:rsid w:val="005566EF"/>
    <w:rsid w:val="006E2689"/>
    <w:rsid w:val="009A6085"/>
    <w:rsid w:val="00B05660"/>
    <w:rsid w:val="00C7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2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660"/>
    <w:rPr>
      <w:b/>
      <w:bCs/>
    </w:rPr>
  </w:style>
  <w:style w:type="character" w:customStyle="1" w:styleId="apple-converted-space">
    <w:name w:val="apple-converted-space"/>
    <w:basedOn w:val="a0"/>
    <w:rsid w:val="00B05660"/>
  </w:style>
  <w:style w:type="character" w:styleId="a5">
    <w:name w:val="Emphasis"/>
    <w:basedOn w:val="a0"/>
    <w:uiPriority w:val="20"/>
    <w:qFormat/>
    <w:rsid w:val="00B056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2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26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2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660"/>
    <w:rPr>
      <w:b/>
      <w:bCs/>
    </w:rPr>
  </w:style>
  <w:style w:type="character" w:customStyle="1" w:styleId="apple-converted-space">
    <w:name w:val="apple-converted-space"/>
    <w:basedOn w:val="a0"/>
    <w:rsid w:val="00B05660"/>
  </w:style>
  <w:style w:type="character" w:styleId="a5">
    <w:name w:val="Emphasis"/>
    <w:basedOn w:val="a0"/>
    <w:uiPriority w:val="20"/>
    <w:qFormat/>
    <w:rsid w:val="00B056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2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26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14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Eco-Flaiv</dc:creator>
  <cp:lastModifiedBy>Eco-Flaiv</cp:lastModifiedBy>
  <cp:revision>5</cp:revision>
  <dcterms:created xsi:type="dcterms:W3CDTF">2012-04-11T13:01:00Z</dcterms:created>
  <dcterms:modified xsi:type="dcterms:W3CDTF">2012-04-11T13:46:00Z</dcterms:modified>
</cp:coreProperties>
</file>