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50" w:rsidRPr="00A1201D" w:rsidRDefault="00D47250" w:rsidP="00D4725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proofErr w:type="spellStart"/>
      <w:r w:rsidRPr="00A1201D">
        <w:rPr>
          <w:rFonts w:ascii="Palatino Linotype" w:eastAsia="Times New Roman" w:hAnsi="Palatino Linotype" w:cs="Times New Roman"/>
          <w:b/>
          <w:bCs/>
          <w:color w:val="00008B"/>
          <w:sz w:val="24"/>
          <w:szCs w:val="24"/>
          <w:lang w:eastAsia="ru-RU"/>
        </w:rPr>
        <w:t>Здоровьесберегающая</w:t>
      </w:r>
      <w:proofErr w:type="spellEnd"/>
      <w:r w:rsidRPr="00A1201D">
        <w:rPr>
          <w:rFonts w:ascii="Palatino Linotype" w:eastAsia="Times New Roman" w:hAnsi="Palatino Linotype" w:cs="Times New Roman"/>
          <w:b/>
          <w:bCs/>
          <w:color w:val="00008B"/>
          <w:sz w:val="24"/>
          <w:szCs w:val="24"/>
          <w:lang w:eastAsia="ru-RU"/>
        </w:rPr>
        <w:t xml:space="preserve"> инфраструктура Учреждения.</w:t>
      </w:r>
    </w:p>
    <w:p w:rsidR="00D47250" w:rsidRPr="00A1201D" w:rsidRDefault="00D47250" w:rsidP="00D47250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proofErr w:type="spellStart"/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Здоровьесберегающая</w:t>
      </w:r>
      <w:proofErr w:type="spellEnd"/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 инфраструктура образовательного учреждения включает:</w:t>
      </w:r>
    </w:p>
    <w:p w:rsidR="00D47250" w:rsidRPr="00A1201D" w:rsidRDefault="00D47250" w:rsidP="00D472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создание локальной нормативно – правовой базы по сохранению здоровья и обеспечению безопасности образовательного учреждения, обеспечивающей введение ФГОС </w:t>
      </w:r>
      <w:proofErr w:type="gram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ДО</w:t>
      </w:r>
      <w:proofErr w:type="gram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реализацию</w:t>
      </w:r>
      <w:proofErr w:type="gram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государственной политики в сфере образования; </w:t>
      </w:r>
    </w:p>
    <w:p w:rsidR="00D47250" w:rsidRPr="00A1201D" w:rsidRDefault="00D47250" w:rsidP="00D472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сбор и анализ информации, отчёт, информационная презентация результатов,  оценка и  прогнозирование состояния безопасной </w:t>
      </w:r>
      <w:proofErr w:type="spell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среды в Учреждении на последующий период; </w:t>
      </w:r>
    </w:p>
    <w:p w:rsidR="00D47250" w:rsidRPr="00A1201D" w:rsidRDefault="00D47250" w:rsidP="00D472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соблюдение гигиенических норм и требований к организации и объёму учебной нагрузки  детей дошкольного возраста;</w:t>
      </w:r>
    </w:p>
    <w:p w:rsidR="00D47250" w:rsidRPr="00A1201D" w:rsidRDefault="00D47250" w:rsidP="00D472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введение в работу образовательной программы дополнительного образования «Азбука пожарной безопасности»;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соответствие состояния и содержания здания и помещений Учреждения санитарным и гигиеничес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softHyphen/>
        <w:t>ким нормам, нормам пожарной безопасности, требованиям охраны здоровья воспитанников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наличие и необходимое оснащение помещений для питания воспитанников, а также для хранения и приготовления пищи;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организацию качественного горячего питания детей, в том числе горячих завтраков;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наличие помещений для медицинского персонала;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наличие необходимого (в расчёте на количество воспитанников) и квалифицированного состава специалистов, обеспечивающих оздоровительную работу с воспитанниками (логопеды, воспитатели по физической культуре, психологи, медицинские работники);</w:t>
      </w:r>
    </w:p>
    <w:p w:rsidR="00D47250" w:rsidRPr="00A1201D" w:rsidRDefault="00D47250" w:rsidP="00D472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средств. В здании детского сада созданы необходимые условия для сбережения здоровья воспитанников. Все имеющиеся помещения соответствуют санитарным и гигиеническим нормам, нормам пожарной безопасности, требованиям охраны здоровья и охраны труда воспитанников.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br/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br/>
      </w: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Инфраструктура Учреждения.</w:t>
      </w:r>
    </w:p>
    <w:tbl>
      <w:tblPr>
        <w:tblStyle w:val="a3"/>
        <w:tblW w:w="5000" w:type="pct"/>
        <w:tblLayout w:type="fixed"/>
        <w:tblLook w:val="04A0"/>
      </w:tblPr>
      <w:tblGrid>
        <w:gridCol w:w="899"/>
        <w:gridCol w:w="2663"/>
        <w:gridCol w:w="6009"/>
      </w:tblGrid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1</w:t>
            </w:r>
            <w:r w:rsidRPr="00A1201D">
              <w:rPr>
                <w:rFonts w:ascii="Palatino Linotype" w:eastAsia="Times New Roman" w:hAnsi="Palatino Linotype" w:cs="Cambria Math"/>
                <w:bCs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3139" w:type="pct"/>
            <w:hideMark/>
          </w:tcPr>
          <w:p w:rsidR="00D47250" w:rsidRPr="00A1201D" w:rsidRDefault="00D47250" w:rsidP="00D47250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Два типовых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,  тре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хэтажных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здани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с центральным водоснабжением, канализацией, системой отопления,  </w:t>
            </w:r>
            <w:proofErr w:type="gram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рассчитанное</w:t>
            </w:r>
            <w:proofErr w:type="gram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групп. Оснащено  пожарной сигнализацией, сигнализацией экстренного вызова полиции вневедомственной охраны, световым освещением запасных выходов и эвакуационным освещением.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Территория детского сада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Изолированные игровые участки каждой возрастной группы, спортивная площадка, детский огород. Вокруг здания асфальтная дорожка с разметкой  для обучения детей правилам дорожного движения.  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Группы изолированные, имеют раздевальные, умывальные и туалетные помещения. Стационарные спальни в шести группах. </w:t>
            </w:r>
          </w:p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Дневной сон, питание, непосредственно образовательная деятельность, совместная деятельность взрослого и детей в ходе режимных моментов, праздники, досуги  развлечения организуются  в зале и в групповых комнатах. </w:t>
            </w:r>
          </w:p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Бытовые условия в групповых помещениях и кабинетах соответствует современным требованиям.</w:t>
            </w:r>
          </w:p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Развивающая среда в группах для самостоятельной деятельности детей  разделена на игровые центры с учетом возраста, интересов и полового различия детей. В каждой возрастной группе имеется паспорт группы.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Кабинет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образования. Мебель соответствует росту детей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Кабинет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образования.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Методический  кабинет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Кабинет укомплектован учебным оборудованием, учебно-методическими пособиями, необходимыми для выполнения 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образовательной программы дошкольного образования Учреждения, в том числе и для привития детям навыков здорового образа жизни. Имеется электронное рабочее место старшего воспитателя и воспитателей, оргтехника и технические средства обучения.</w:t>
            </w:r>
          </w:p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Обеспечивается ведение педагогической документации и планирования. Кабинет обслуживается старшим воспитателем. 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Медицинский и прививочный кабинеты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Имеется специальная медицинская мебель, холодильник для хранения медикаментов, контейнеры для отходов разных категорий, стационарная бактерицидная лампа. Медицинский кабинет обслуживает медсестра ДОУ. Прививочный кабинет функционирует по мере необходимости, предварительно проводится  уборка и обработка помещения, 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Пищеблок 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Помещение оборудовано  электрической плитой,  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пароконвектоматом</w:t>
            </w:r>
            <w:proofErr w:type="spell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, электрической овощерезательной машиной, электрической 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- овощерезательной машиной, разделочными столами из нержавеющей стали, ванной, раковинами, 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электромясорубкой</w:t>
            </w:r>
            <w:proofErr w:type="spell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, холодильником для полуфабрикатов, холодильником для суточных проб, вытяжкой. Все электрооборудование заземлено.  На вводе установлен очистительный водозаборный фильтр, 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водосчетчик</w:t>
            </w:r>
            <w:proofErr w:type="spell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Питание  трехразовое, горячее, осуществляется </w:t>
            </w:r>
            <w:proofErr w:type="gram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согласно</w:t>
            </w:r>
            <w:proofErr w:type="gram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примерного меню, составленного на основе СанПиН и утвержденного начальником Управления образования. </w:t>
            </w:r>
          </w:p>
        </w:tc>
      </w:tr>
      <w:tr w:rsidR="00D47250" w:rsidRPr="00A1201D" w:rsidTr="005E0D07">
        <w:tc>
          <w:tcPr>
            <w:tcW w:w="470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13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Оборудована</w:t>
            </w:r>
            <w:proofErr w:type="gram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  автоматической стиральной машиной, сушилкой для белья, электрическим утюгом и гладильной доской.</w:t>
            </w:r>
          </w:p>
        </w:tc>
      </w:tr>
    </w:tbl>
    <w:p w:rsidR="00D47250" w:rsidRPr="00A1201D" w:rsidRDefault="00D47250" w:rsidP="00D47250">
      <w:p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Состав специалистов, обеспечивающих  оздоровительную работу с детьми.</w:t>
      </w:r>
    </w:p>
    <w:tbl>
      <w:tblPr>
        <w:tblStyle w:val="a3"/>
        <w:tblW w:w="5000" w:type="pct"/>
        <w:tblLook w:val="04A0"/>
      </w:tblPr>
      <w:tblGrid>
        <w:gridCol w:w="1755"/>
        <w:gridCol w:w="1492"/>
        <w:gridCol w:w="1629"/>
        <w:gridCol w:w="1611"/>
        <w:gridCol w:w="1173"/>
        <w:gridCol w:w="1231"/>
        <w:gridCol w:w="680"/>
      </w:tblGrid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Cambria Math"/>
                <w:b/>
                <w:bCs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57" w:type="pct"/>
            <w:gridSpan w:val="2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Cambria Math"/>
                <w:b/>
                <w:bCs/>
                <w:sz w:val="24"/>
                <w:szCs w:val="24"/>
                <w:lang w:eastAsia="ru-RU"/>
              </w:rPr>
              <w:t>​</w:t>
            </w: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Cambria Math"/>
                <w:b/>
                <w:bCs/>
                <w:sz w:val="24"/>
                <w:szCs w:val="24"/>
                <w:lang w:eastAsia="ru-RU"/>
              </w:rPr>
              <w:t>​​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Cambria Math"/>
                <w:b/>
                <w:bCs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Средне - специальн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lastRenderedPageBreak/>
              <w:t>ое</w:t>
            </w:r>
          </w:p>
        </w:tc>
        <w:tc>
          <w:tcPr>
            <w:tcW w:w="613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644" w:type="pct"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Вто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рая</w:t>
            </w:r>
            <w:proofErr w:type="spellEnd"/>
            <w:proofErr w:type="gramEnd"/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3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- б/к</w:t>
            </w: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 – б/к</w:t>
            </w: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1-б/к</w:t>
            </w: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gridSpan w:val="2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7250" w:rsidRPr="00A1201D" w:rsidTr="005E0D07">
        <w:tc>
          <w:tcPr>
            <w:tcW w:w="91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9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gridSpan w:val="2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hideMark/>
          </w:tcPr>
          <w:p w:rsidR="00D47250" w:rsidRPr="00A1201D" w:rsidRDefault="00D47250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47250" w:rsidRPr="00A1201D" w:rsidRDefault="00D47250" w:rsidP="00D47250">
      <w:p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</w:p>
    <w:p w:rsidR="00D47250" w:rsidRPr="00A1201D" w:rsidRDefault="00D47250" w:rsidP="00D4725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color w:val="00008B"/>
          <w:sz w:val="24"/>
          <w:szCs w:val="24"/>
          <w:lang w:eastAsia="ru-RU"/>
        </w:rPr>
        <w:t> </w:t>
      </w: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Рациональная организация образовательной  деятельности.</w:t>
      </w:r>
    </w:p>
    <w:p w:rsidR="00D47250" w:rsidRPr="00A1201D" w:rsidRDefault="00D47250" w:rsidP="00D47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proofErr w:type="gramStart"/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с</w:t>
      </w:r>
      <w:proofErr w:type="gramEnd"/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облюдение гигиенических норм и требований к  орга</w:t>
      </w: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softHyphen/>
        <w:t>низации и объёму учебной  нагрузки  воспитанников каждого возрастного периода;</w:t>
      </w:r>
    </w:p>
    <w:p w:rsidR="00D47250" w:rsidRPr="00A1201D" w:rsidRDefault="00D47250" w:rsidP="00D47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использование методов и методик обучения, адекватных возрастным возможностям и особенностям детей дошкольного возраста;</w:t>
      </w:r>
    </w:p>
    <w:p w:rsidR="00D47250" w:rsidRPr="00A1201D" w:rsidRDefault="00D47250" w:rsidP="00D47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введение любых инноваций в педагогический процесс только под контролем специалистов;</w:t>
      </w:r>
    </w:p>
    <w:p w:rsidR="00D47250" w:rsidRPr="00A1201D" w:rsidRDefault="00D47250" w:rsidP="00D47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строгое соблюдение всех требований к использованию технических средств обучения, в том числе </w:t>
      </w:r>
      <w:hyperlink r:id="rId5" w:tgtFrame="_blank" w:history="1">
        <w:r w:rsidRPr="00A1201D">
          <w:rPr>
            <w:rFonts w:ascii="Palatino Linotype" w:eastAsia="Times New Roman" w:hAnsi="Palatino Linotype" w:cs="Times New Roman"/>
            <w:sz w:val="24"/>
            <w:szCs w:val="24"/>
            <w:u w:val="single"/>
            <w:lang w:eastAsia="ru-RU"/>
          </w:rPr>
          <w:t>компьютеров</w:t>
        </w:r>
      </w:hyperlink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и аудиовизуальных средств;</w:t>
      </w:r>
    </w:p>
    <w:p w:rsidR="00D47250" w:rsidRPr="00A1201D" w:rsidRDefault="00D47250" w:rsidP="00D47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индивидуализация обучения (учёт индивидуальных осо</w:t>
      </w: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softHyphen/>
        <w:t>бенностей развития: темпа развития и темпа деятельности), работа по индивидуальным программам дошкольного образования (адаптированные программы);</w:t>
      </w:r>
    </w:p>
    <w:p w:rsidR="00D47250" w:rsidRDefault="00D47250" w:rsidP="00D47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sz w:val="24"/>
          <w:szCs w:val="24"/>
          <w:lang w:eastAsia="ru-RU"/>
        </w:rPr>
        <w:t>ведение систематической работы с детьми с ослабленным здоровьем и детьми с ограниченными возможностями здоровья под строгим контролем медицинских работников. </w:t>
      </w:r>
    </w:p>
    <w:p w:rsidR="00D47250" w:rsidRDefault="00D47250" w:rsidP="00D4725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</w:p>
    <w:p w:rsidR="00B60032" w:rsidRDefault="00B60032"/>
    <w:sectPr w:rsidR="00B60032" w:rsidSect="00B6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C7B"/>
    <w:multiLevelType w:val="multilevel"/>
    <w:tmpl w:val="F39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3471A"/>
    <w:multiLevelType w:val="multilevel"/>
    <w:tmpl w:val="E97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43F97"/>
    <w:multiLevelType w:val="multilevel"/>
    <w:tmpl w:val="6E2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250"/>
    <w:rsid w:val="00B60032"/>
    <w:rsid w:val="00D4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tmark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5416</Characters>
  <Application>Microsoft Office Word</Application>
  <DocSecurity>0</DocSecurity>
  <Lines>45</Lines>
  <Paragraphs>12</Paragraphs>
  <ScaleCrop>false</ScaleCrop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2014-12-22T13:31:00Z</dcterms:created>
  <dcterms:modified xsi:type="dcterms:W3CDTF">2014-12-22T13:33:00Z</dcterms:modified>
</cp:coreProperties>
</file>