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4" w:rsidRDefault="00DF3684" w:rsidP="00DF36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3684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«Влияние психологического климата в коллективе на повышение профессионального мастерства педагога </w:t>
      </w:r>
      <w:r w:rsidR="009C168E">
        <w:rPr>
          <w:rFonts w:ascii="Times New Roman" w:hAnsi="Times New Roman"/>
          <w:b/>
          <w:bCs/>
          <w:color w:val="000000"/>
          <w:sz w:val="28"/>
          <w:szCs w:val="28"/>
        </w:rPr>
        <w:t>дошкольной образовательной организации</w:t>
      </w:r>
      <w:r w:rsidRPr="00DF3684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DF3684" w:rsidRPr="00DF3684" w:rsidRDefault="009C168E" w:rsidP="00DF368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F3684">
        <w:rPr>
          <w:rFonts w:ascii="Times New Roman" w:hAnsi="Times New Roman"/>
          <w:bCs/>
          <w:color w:val="000000"/>
          <w:sz w:val="28"/>
          <w:szCs w:val="28"/>
        </w:rPr>
        <w:t>С.Л.Шикина</w:t>
      </w:r>
      <w:proofErr w:type="spellEnd"/>
      <w:r w:rsidR="007D6965">
        <w:rPr>
          <w:rFonts w:ascii="Times New Roman" w:hAnsi="Times New Roman"/>
          <w:bCs/>
          <w:color w:val="000000"/>
          <w:sz w:val="28"/>
          <w:szCs w:val="28"/>
        </w:rPr>
        <w:t>, М.И.Корчина</w:t>
      </w:r>
    </w:p>
    <w:p w:rsidR="00DF3684" w:rsidRDefault="00DF3684" w:rsidP="00E209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7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color w:val="000000"/>
          <w:sz w:val="28"/>
          <w:szCs w:val="28"/>
        </w:rPr>
        <w:t>Управление большой организации нуждается в четкой координации и прагматизме.</w:t>
      </w:r>
      <w:r w:rsidR="00DF3684">
        <w:rPr>
          <w:rFonts w:ascii="Times New Roman" w:hAnsi="Times New Roman" w:cs="Times New Roman"/>
          <w:sz w:val="28"/>
          <w:szCs w:val="28"/>
        </w:rPr>
        <w:t xml:space="preserve"> </w:t>
      </w:r>
      <w:r w:rsidRPr="00EE608A">
        <w:rPr>
          <w:rFonts w:ascii="Times New Roman" w:hAnsi="Times New Roman" w:cs="Times New Roman"/>
          <w:sz w:val="28"/>
          <w:szCs w:val="28"/>
        </w:rPr>
        <w:t>Взаимоотношения  людей  в  процессе  совместной  деятельности, которой  каждый  человек  посвящает значительную  часть  своей  жизни, всегда  вызывает  особый  интерес  и  внимание.</w:t>
      </w:r>
    </w:p>
    <w:p w:rsidR="00E20957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 xml:space="preserve"> Современному  руководителю  необходимо устанавливать  контакт  со  своими  подчиненными, а  это  - большое  искусство.  Ведь  работники  -  не  роботы, которые  по  первому  распоряжению  выполняют  приказы  своего  начальника.  Все  мы  -  живые  люди  со  своими  чувствами  и  проблемами.</w:t>
      </w:r>
    </w:p>
    <w:p w:rsidR="00E20957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>И  с  каждым  членом педагогического коллектива  необходимо  устанавливать  теплые  отношения, создавать  благоприятный  психологический  климат, ведь  именно  такие  действия  -  залог профессионального роста, творческого потенциала, стабильной работы учреждения, а, следовательно, и повышения качества образования в целом.</w:t>
      </w:r>
    </w:p>
    <w:p w:rsidR="00E20957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08A">
        <w:rPr>
          <w:rFonts w:ascii="Times New Roman" w:hAnsi="Times New Roman" w:cs="Times New Roman"/>
          <w:sz w:val="28"/>
          <w:szCs w:val="28"/>
        </w:rPr>
        <w:t xml:space="preserve">Среди образовательных учреждений вряд ли можно найти такое, в котором администрация была бы довольна достигнутыми результатами на все 100%, а сотрудники чувствовали себя в коллективе максимально комфортно. </w:t>
      </w:r>
      <w:r w:rsidRPr="00EE608A">
        <w:rPr>
          <w:rFonts w:ascii="Times New Roman" w:hAnsi="Times New Roman" w:cs="Times New Roman"/>
          <w:color w:val="000000"/>
          <w:sz w:val="28"/>
          <w:szCs w:val="28"/>
        </w:rPr>
        <w:t>Поэтому, в большинстве организаций, для достижения большого результата необходимы новые подходы в управлении</w:t>
      </w:r>
      <w:r w:rsidR="00E20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957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08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таких подходов можно выделить  создание благоприятного психологического климата, эмоциональное управление, элементы которого, так или иначе, присутствовали во все времена и в любой организации. Раньше </w:t>
      </w:r>
      <w:proofErr w:type="gramStart"/>
      <w:r w:rsidRPr="00EE608A">
        <w:rPr>
          <w:rFonts w:ascii="Times New Roman" w:hAnsi="Times New Roman" w:cs="Times New Roman"/>
          <w:color w:val="000000"/>
          <w:sz w:val="28"/>
          <w:szCs w:val="28"/>
        </w:rPr>
        <w:t>говорить об этом было не принято</w:t>
      </w:r>
      <w:proofErr w:type="gramEnd"/>
      <w:r w:rsidRPr="00EE608A">
        <w:rPr>
          <w:rFonts w:ascii="Times New Roman" w:hAnsi="Times New Roman" w:cs="Times New Roman"/>
          <w:color w:val="000000"/>
          <w:sz w:val="28"/>
          <w:szCs w:val="28"/>
        </w:rPr>
        <w:t xml:space="preserve">. Теоретики всей </w:t>
      </w:r>
      <w:proofErr w:type="spellStart"/>
      <w:proofErr w:type="gramStart"/>
      <w:r w:rsidRPr="00EE608A">
        <w:rPr>
          <w:rFonts w:ascii="Times New Roman" w:hAnsi="Times New Roman" w:cs="Times New Roman"/>
          <w:color w:val="000000"/>
          <w:sz w:val="28"/>
          <w:szCs w:val="28"/>
        </w:rPr>
        <w:t>бизнес-школы</w:t>
      </w:r>
      <w:proofErr w:type="spellEnd"/>
      <w:proofErr w:type="gramEnd"/>
      <w:r w:rsidRPr="00EE608A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и нынешнего создавали и описывали плоскую детерминированную систему управления, которой и учили своих преемников. Эта система была консервативной и не гибкой, но, по мнению многих, – надежной. В такой системе во внимание не принимался эмоциональный аспект, потому что считалось, что он не имеет значительного влияния на результат, на профессиональный рост членов коллектива</w:t>
      </w:r>
      <w:r w:rsidR="00E20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08A" w:rsidRPr="00EE608A" w:rsidRDefault="00EE608A" w:rsidP="00E20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8A">
        <w:rPr>
          <w:rFonts w:ascii="Times New Roman" w:hAnsi="Times New Roman" w:cs="Times New Roman"/>
          <w:color w:val="000000"/>
          <w:sz w:val="28"/>
          <w:szCs w:val="28"/>
        </w:rPr>
        <w:t>В условиях современной научно-технической революции постоянно растет интерес к явлению психологического климата коллектива.</w:t>
      </w:r>
    </w:p>
    <w:p w:rsidR="00E20957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8A">
        <w:rPr>
          <w:rFonts w:ascii="Times New Roman" w:hAnsi="Times New Roman"/>
          <w:color w:val="000000"/>
          <w:sz w:val="28"/>
          <w:szCs w:val="28"/>
        </w:rPr>
        <w:t xml:space="preserve">Актуальность данной проблемы диктуется, прежде всего, увеличенными требованиями к уровню психологической включенности индивида в его трудовую деятельность и осложнением психической жизнедеятельности людей, постоянным ростом их личных притязаний. Формирование благоприятного психологического климата трудового коллектива является одним из важнейших условий борьбы за рост  профессионального мастерства и производительности труда. Вместе с тем, психологический климат является показателем уровня  развития коллектива и его психологических резервов, способных к более полной реализации. </w:t>
      </w:r>
    </w:p>
    <w:p w:rsidR="00E20957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8A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Профессиональной деятельности мы посвящаем значительную часть своей жизни, поэтому желание чувствовать себя среди коллег комфортно и уверенно вполне понятно. Как и любые человеческие сообщества, трудовые коллективы не могут существовать без конфликтов. Периодически возникают психологические трения, негативные последствия которых, известны: снижение работоспособности, понижение мотивации, рост текучести кадров и как следствие – снижение профессионального мастерства и интереса к работе, снижение производительности труда организации в целом.</w:t>
      </w:r>
    </w:p>
    <w:p w:rsidR="00E20957" w:rsidRPr="0027527F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8A">
        <w:rPr>
          <w:rFonts w:ascii="Times New Roman" w:hAnsi="Times New Roman"/>
          <w:color w:val="000000"/>
          <w:sz w:val="28"/>
          <w:szCs w:val="28"/>
        </w:rPr>
        <w:t xml:space="preserve">Актуальность определяет </w:t>
      </w:r>
      <w:r w:rsidRPr="0027527F">
        <w:rPr>
          <w:rFonts w:ascii="Times New Roman" w:hAnsi="Times New Roman"/>
          <w:color w:val="000000"/>
          <w:sz w:val="28"/>
          <w:szCs w:val="28"/>
        </w:rPr>
        <w:t>проблему:   выяснить</w:t>
      </w:r>
      <w:r w:rsidRPr="00EE608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E608A">
        <w:rPr>
          <w:rFonts w:ascii="Times New Roman" w:hAnsi="Times New Roman"/>
          <w:sz w:val="28"/>
          <w:szCs w:val="28"/>
        </w:rPr>
        <w:t xml:space="preserve">при каких условиях </w:t>
      </w:r>
      <w:proofErr w:type="gramStart"/>
      <w:r w:rsidRPr="00EE608A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EE608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E608A">
        <w:rPr>
          <w:rFonts w:ascii="Times New Roman" w:hAnsi="Times New Roman"/>
          <w:sz w:val="28"/>
          <w:szCs w:val="28"/>
        </w:rPr>
        <w:t>какие</w:t>
      </w:r>
      <w:proofErr w:type="gramEnd"/>
      <w:r w:rsidRPr="00EE608A">
        <w:rPr>
          <w:rFonts w:ascii="Times New Roman" w:hAnsi="Times New Roman"/>
          <w:sz w:val="28"/>
          <w:szCs w:val="28"/>
        </w:rPr>
        <w:t xml:space="preserve"> факторы психологического климата в коллективе влияют на повышение  профессионального мастерства педагогов.</w:t>
      </w:r>
      <w:r w:rsidR="009C1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957">
        <w:rPr>
          <w:rFonts w:ascii="Times New Roman" w:hAnsi="Times New Roman"/>
          <w:sz w:val="28"/>
          <w:szCs w:val="28"/>
        </w:rPr>
        <w:t xml:space="preserve">Мы </w:t>
      </w:r>
      <w:r w:rsidRPr="00EE608A">
        <w:rPr>
          <w:rFonts w:ascii="Times New Roman" w:hAnsi="Times New Roman"/>
          <w:sz w:val="28"/>
          <w:szCs w:val="28"/>
        </w:rPr>
        <w:t xml:space="preserve"> опреде</w:t>
      </w:r>
      <w:r w:rsidR="00E20957">
        <w:rPr>
          <w:rFonts w:ascii="Times New Roman" w:hAnsi="Times New Roman"/>
          <w:sz w:val="28"/>
          <w:szCs w:val="28"/>
        </w:rPr>
        <w:t>лили</w:t>
      </w:r>
      <w:r w:rsidRPr="00EE608A">
        <w:rPr>
          <w:rFonts w:ascii="Times New Roman" w:hAnsi="Times New Roman"/>
          <w:sz w:val="28"/>
          <w:szCs w:val="28"/>
        </w:rPr>
        <w:t xml:space="preserve"> следующие </w:t>
      </w:r>
      <w:r w:rsidRPr="0027527F">
        <w:rPr>
          <w:rFonts w:ascii="Times New Roman" w:hAnsi="Times New Roman"/>
          <w:sz w:val="28"/>
          <w:szCs w:val="28"/>
        </w:rPr>
        <w:t>задачи исследования:</w:t>
      </w:r>
    </w:p>
    <w:p w:rsidR="00E20957" w:rsidRPr="0027527F" w:rsidRDefault="00EE608A" w:rsidP="0027527F">
      <w:pPr>
        <w:pStyle w:val="a5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7527F">
        <w:rPr>
          <w:rFonts w:ascii="Times New Roman" w:eastAsia="Calibri" w:hAnsi="Times New Roman"/>
          <w:sz w:val="28"/>
          <w:szCs w:val="28"/>
          <w:lang w:eastAsia="en-US"/>
        </w:rPr>
        <w:t>Проанализировать состояние рассматриваемой проблемы в педагогической науке и практике дошкольных образовательных учреждений, уточнив содержание понятий «психологический климат», «профессиональное мастерство».</w:t>
      </w:r>
    </w:p>
    <w:p w:rsidR="00E20957" w:rsidRPr="0027527F" w:rsidRDefault="00EE608A" w:rsidP="0027527F">
      <w:pPr>
        <w:pStyle w:val="a5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7527F">
        <w:rPr>
          <w:rFonts w:ascii="Times New Roman" w:eastAsia="Calibri" w:hAnsi="Times New Roman"/>
          <w:sz w:val="28"/>
          <w:szCs w:val="28"/>
          <w:lang w:eastAsia="en-US"/>
        </w:rPr>
        <w:t>Выявить уровень состояния психологического климата в дошкольно</w:t>
      </w:r>
      <w:r w:rsidR="00E20957" w:rsidRPr="0027527F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2752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0957" w:rsidRPr="0027527F"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</w:p>
    <w:p w:rsidR="00E20957" w:rsidRPr="0027527F" w:rsidRDefault="00EE608A" w:rsidP="0027527F">
      <w:pPr>
        <w:pStyle w:val="a5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7527F">
        <w:rPr>
          <w:rFonts w:ascii="Times New Roman" w:eastAsia="Calibri" w:hAnsi="Times New Roman"/>
          <w:sz w:val="28"/>
          <w:szCs w:val="28"/>
          <w:lang w:eastAsia="en-US"/>
        </w:rPr>
        <w:t>Определить  степень профессионального мастерства педагогов  в детском саду</w:t>
      </w:r>
    </w:p>
    <w:p w:rsidR="00EE608A" w:rsidRPr="0027527F" w:rsidRDefault="00EE608A" w:rsidP="0027527F">
      <w:pPr>
        <w:pStyle w:val="a5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7527F">
        <w:rPr>
          <w:rFonts w:ascii="Times New Roman" w:eastAsia="Calibri" w:hAnsi="Times New Roman"/>
          <w:sz w:val="28"/>
          <w:szCs w:val="28"/>
          <w:lang w:eastAsia="en-US"/>
        </w:rPr>
        <w:t>Выделить и экспериментально проверить  факторы, улучшающие психологический климат в коллективе, и его влияние на повышение профессионального мастерства педагогического коллектива.</w:t>
      </w:r>
    </w:p>
    <w:p w:rsidR="00EE608A" w:rsidRPr="00EE608A" w:rsidRDefault="00EE608A" w:rsidP="00E20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72E">
        <w:rPr>
          <w:rFonts w:ascii="Times New Roman" w:hAnsi="Times New Roman"/>
          <w:color w:val="000000"/>
          <w:sz w:val="28"/>
          <w:szCs w:val="28"/>
        </w:rPr>
        <w:t>Теоретической основой исследования</w:t>
      </w:r>
      <w:r w:rsidRPr="00EE608A">
        <w:rPr>
          <w:rFonts w:ascii="Times New Roman" w:hAnsi="Times New Roman"/>
          <w:color w:val="000000"/>
          <w:sz w:val="28"/>
          <w:szCs w:val="28"/>
        </w:rPr>
        <w:t xml:space="preserve"> стали труды:</w:t>
      </w:r>
      <w:r w:rsidR="002752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527F">
        <w:rPr>
          <w:rFonts w:ascii="Times New Roman" w:hAnsi="Times New Roman"/>
          <w:sz w:val="28"/>
          <w:szCs w:val="28"/>
        </w:rPr>
        <w:t>Б.М.Бим</w:t>
      </w:r>
      <w:proofErr w:type="spellEnd"/>
      <w:r w:rsidR="0027527F">
        <w:rPr>
          <w:rFonts w:ascii="Times New Roman" w:hAnsi="Times New Roman"/>
          <w:sz w:val="28"/>
          <w:szCs w:val="28"/>
        </w:rPr>
        <w:t xml:space="preserve"> </w:t>
      </w:r>
      <w:r w:rsidRPr="00EE608A">
        <w:rPr>
          <w:rFonts w:ascii="Times New Roman" w:hAnsi="Times New Roman"/>
          <w:sz w:val="28"/>
          <w:szCs w:val="28"/>
        </w:rPr>
        <w:t>-</w:t>
      </w:r>
      <w:r w:rsidR="00275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08A">
        <w:rPr>
          <w:rFonts w:ascii="Times New Roman" w:hAnsi="Times New Roman"/>
          <w:sz w:val="28"/>
          <w:szCs w:val="28"/>
        </w:rPr>
        <w:t>Бад</w:t>
      </w:r>
      <w:proofErr w:type="spellEnd"/>
      <w:r w:rsidRPr="00EE60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608A">
        <w:rPr>
          <w:rFonts w:ascii="Times New Roman" w:hAnsi="Times New Roman"/>
          <w:sz w:val="28"/>
          <w:szCs w:val="28"/>
        </w:rPr>
        <w:t>Х.Х.Бруннер</w:t>
      </w:r>
      <w:proofErr w:type="spellEnd"/>
      <w:r w:rsidRPr="00EE608A">
        <w:rPr>
          <w:rFonts w:ascii="Times New Roman" w:hAnsi="Times New Roman"/>
          <w:sz w:val="28"/>
          <w:szCs w:val="28"/>
        </w:rPr>
        <w:t xml:space="preserve">, М.В.Богуславский, В.З.Вульфов, </w:t>
      </w:r>
      <w:proofErr w:type="spellStart"/>
      <w:r w:rsidRPr="00EE608A">
        <w:rPr>
          <w:rFonts w:ascii="Times New Roman" w:hAnsi="Times New Roman"/>
          <w:sz w:val="28"/>
          <w:szCs w:val="28"/>
        </w:rPr>
        <w:t>В.И.Гинецинский</w:t>
      </w:r>
      <w:proofErr w:type="spellEnd"/>
      <w:r w:rsidRPr="00EE608A">
        <w:rPr>
          <w:rFonts w:ascii="Times New Roman" w:hAnsi="Times New Roman"/>
          <w:sz w:val="28"/>
          <w:szCs w:val="28"/>
        </w:rPr>
        <w:t>, Э.Н.Гусинский</w:t>
      </w:r>
      <w:r w:rsidR="0027527F">
        <w:rPr>
          <w:rFonts w:ascii="Times New Roman" w:hAnsi="Times New Roman"/>
          <w:sz w:val="28"/>
          <w:szCs w:val="28"/>
        </w:rPr>
        <w:t>,</w:t>
      </w:r>
      <w:r w:rsidRPr="00EE608A">
        <w:rPr>
          <w:rFonts w:ascii="Times New Roman" w:hAnsi="Times New Roman"/>
          <w:sz w:val="28"/>
          <w:szCs w:val="28"/>
        </w:rPr>
        <w:t xml:space="preserve"> В.П.Беспалько,</w:t>
      </w:r>
      <w:r w:rsidRPr="00EE608A">
        <w:rPr>
          <w:rFonts w:ascii="Times New Roman" w:hAnsi="Times New Roman"/>
          <w:sz w:val="28"/>
          <w:szCs w:val="28"/>
        </w:rPr>
        <w:tab/>
      </w:r>
      <w:r w:rsidR="0027527F">
        <w:rPr>
          <w:rFonts w:ascii="Times New Roman" w:hAnsi="Times New Roman"/>
          <w:sz w:val="28"/>
          <w:szCs w:val="28"/>
        </w:rPr>
        <w:t xml:space="preserve"> Б.Г.Ананьев, </w:t>
      </w:r>
      <w:r w:rsidRPr="00EE608A">
        <w:rPr>
          <w:rFonts w:ascii="Times New Roman" w:hAnsi="Times New Roman"/>
          <w:sz w:val="28"/>
          <w:szCs w:val="28"/>
        </w:rPr>
        <w:t xml:space="preserve">О.С.Анисимов, Т.В.Корнилова, </w:t>
      </w:r>
      <w:proofErr w:type="spellStart"/>
      <w:r w:rsidRPr="00EE608A">
        <w:rPr>
          <w:rFonts w:ascii="Times New Roman" w:hAnsi="Times New Roman"/>
          <w:sz w:val="28"/>
          <w:szCs w:val="28"/>
        </w:rPr>
        <w:t>Д.Г.Левите</w:t>
      </w:r>
      <w:r w:rsidR="0027527F">
        <w:rPr>
          <w:rFonts w:ascii="Times New Roman" w:hAnsi="Times New Roman"/>
          <w:sz w:val="28"/>
          <w:szCs w:val="28"/>
        </w:rPr>
        <w:t>с</w:t>
      </w:r>
      <w:proofErr w:type="spellEnd"/>
      <w:r w:rsidRPr="00EE608A">
        <w:rPr>
          <w:rFonts w:ascii="Times New Roman" w:hAnsi="Times New Roman"/>
          <w:sz w:val="28"/>
          <w:szCs w:val="28"/>
        </w:rPr>
        <w:t>.</w:t>
      </w:r>
    </w:p>
    <w:p w:rsidR="00EE608A" w:rsidRPr="00EE608A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ab/>
        <w:t xml:space="preserve">Реализация поставленных задач потребовала привлечение различных </w:t>
      </w:r>
      <w:r w:rsidRPr="0027527F">
        <w:rPr>
          <w:rFonts w:ascii="Times New Roman" w:hAnsi="Times New Roman"/>
          <w:sz w:val="28"/>
          <w:szCs w:val="28"/>
        </w:rPr>
        <w:t>методов исследования:</w:t>
      </w:r>
      <w:r w:rsidRPr="00EE608A">
        <w:rPr>
          <w:rFonts w:ascii="Times New Roman" w:hAnsi="Times New Roman"/>
          <w:sz w:val="28"/>
          <w:szCs w:val="28"/>
        </w:rPr>
        <w:t xml:space="preserve"> изучение и анализ философской, педагогической, психологической литературы по теме исследования, тестирование, анкетирование педагогов, педагогический эксперимент (констатирующий, формирующий, контрольный), качественный и количественный анализ полученных результатов.</w:t>
      </w:r>
    </w:p>
    <w:p w:rsidR="00EE608A" w:rsidRPr="00EE608A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608A">
        <w:rPr>
          <w:rFonts w:ascii="Times New Roman" w:hAnsi="Times New Roman"/>
          <w:b/>
          <w:sz w:val="28"/>
          <w:szCs w:val="28"/>
        </w:rPr>
        <w:tab/>
      </w:r>
      <w:r w:rsidRPr="0027527F">
        <w:rPr>
          <w:rFonts w:ascii="Times New Roman" w:hAnsi="Times New Roman"/>
          <w:sz w:val="28"/>
          <w:szCs w:val="28"/>
        </w:rPr>
        <w:t>Опытно-экспериментальной базой  исследования</w:t>
      </w:r>
      <w:r w:rsidRPr="00EE608A">
        <w:rPr>
          <w:rFonts w:ascii="Times New Roman" w:hAnsi="Times New Roman"/>
          <w:sz w:val="28"/>
          <w:szCs w:val="28"/>
        </w:rPr>
        <w:t xml:space="preserve"> явился: детский сад № 63 «</w:t>
      </w:r>
      <w:proofErr w:type="spellStart"/>
      <w:r w:rsidRPr="00EE608A">
        <w:rPr>
          <w:rFonts w:ascii="Times New Roman" w:hAnsi="Times New Roman"/>
          <w:sz w:val="28"/>
          <w:szCs w:val="28"/>
        </w:rPr>
        <w:t>Весняночка</w:t>
      </w:r>
      <w:proofErr w:type="spellEnd"/>
      <w:r w:rsidRPr="00EE608A">
        <w:rPr>
          <w:rFonts w:ascii="Times New Roman" w:hAnsi="Times New Roman"/>
          <w:sz w:val="28"/>
          <w:szCs w:val="28"/>
        </w:rPr>
        <w:t xml:space="preserve">» Автономной Некоммерческой Организации Дошкольного Образования «Планета детства «Лада» городского округа Тольятти. </w:t>
      </w:r>
    </w:p>
    <w:p w:rsidR="00EE608A" w:rsidRDefault="00EE608A" w:rsidP="00E20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В исследовательской работе приняли участие 30 педагогических работников </w:t>
      </w:r>
      <w:r w:rsidR="0027527F">
        <w:rPr>
          <w:rFonts w:ascii="Times New Roman" w:hAnsi="Times New Roman"/>
          <w:sz w:val="28"/>
          <w:szCs w:val="28"/>
        </w:rPr>
        <w:t>детского сада</w:t>
      </w:r>
      <w:r w:rsidRPr="00EE608A">
        <w:rPr>
          <w:rFonts w:ascii="Times New Roman" w:hAnsi="Times New Roman"/>
          <w:sz w:val="28"/>
          <w:szCs w:val="28"/>
        </w:rPr>
        <w:t>.</w:t>
      </w:r>
    </w:p>
    <w:p w:rsidR="00E20957" w:rsidRPr="00E20957" w:rsidRDefault="00E20957" w:rsidP="00E20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color w:val="000000"/>
          <w:sz w:val="28"/>
          <w:szCs w:val="28"/>
        </w:rPr>
        <w:t xml:space="preserve">Исследование осуществлялось поэтапно: </w:t>
      </w:r>
    </w:p>
    <w:p w:rsidR="00E20957" w:rsidRPr="00E20957" w:rsidRDefault="00E20957" w:rsidP="00E2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 xml:space="preserve">1) отбор и анализ методик для  изучения психологического климата детского сада, а также уровня профессионального мастерства педагогов; </w:t>
      </w:r>
    </w:p>
    <w:p w:rsidR="00E20957" w:rsidRPr="00E20957" w:rsidRDefault="00E20957" w:rsidP="00E2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>2) непосредств</w:t>
      </w:r>
      <w:r>
        <w:rPr>
          <w:rFonts w:ascii="Times New Roman" w:hAnsi="Times New Roman"/>
          <w:sz w:val="28"/>
          <w:szCs w:val="28"/>
        </w:rPr>
        <w:t>енное эмпирическое исследование;</w:t>
      </w:r>
    </w:p>
    <w:p w:rsidR="00E20957" w:rsidRPr="00E20957" w:rsidRDefault="00E20957" w:rsidP="00E2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>3) анализ полученных результатов исследования.</w:t>
      </w:r>
    </w:p>
    <w:p w:rsidR="00E20957" w:rsidRPr="00E20957" w:rsidRDefault="00E20957" w:rsidP="00E2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lastRenderedPageBreak/>
        <w:tab/>
        <w:t xml:space="preserve"> Целью первого этапа был отбор методик, позволяющих выявить состояние психологического климата в коллективе детского сада и уровень профессионального мастерства педагогов: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0957">
        <w:rPr>
          <w:rFonts w:ascii="Times New Roman" w:hAnsi="Times New Roman"/>
          <w:bCs/>
          <w:kern w:val="36"/>
          <w:sz w:val="28"/>
          <w:szCs w:val="28"/>
        </w:rPr>
        <w:t xml:space="preserve">Диагностика психологического климата в малой группе В. </w:t>
      </w:r>
      <w:proofErr w:type="spellStart"/>
      <w:r w:rsidRPr="00E20957">
        <w:rPr>
          <w:rFonts w:ascii="Times New Roman" w:hAnsi="Times New Roman"/>
          <w:bCs/>
          <w:kern w:val="36"/>
          <w:sz w:val="28"/>
          <w:szCs w:val="28"/>
        </w:rPr>
        <w:t>Шпалинского</w:t>
      </w:r>
      <w:proofErr w:type="spellEnd"/>
      <w:r w:rsidRPr="00E20957">
        <w:rPr>
          <w:rFonts w:ascii="Times New Roman" w:hAnsi="Times New Roman"/>
          <w:bCs/>
          <w:kern w:val="36"/>
          <w:sz w:val="28"/>
          <w:szCs w:val="28"/>
        </w:rPr>
        <w:t xml:space="preserve"> и Э.Г. Шелеста;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 xml:space="preserve">Экспресс методика по изучению психологического климата в трудовом коллективе. Авторами методики являются О.С. </w:t>
      </w:r>
      <w:proofErr w:type="spellStart"/>
      <w:r w:rsidRPr="00E20957">
        <w:rPr>
          <w:rFonts w:ascii="Times New Roman" w:hAnsi="Times New Roman"/>
          <w:sz w:val="28"/>
          <w:szCs w:val="28"/>
        </w:rPr>
        <w:t>Михалюк</w:t>
      </w:r>
      <w:proofErr w:type="spellEnd"/>
      <w:r w:rsidRPr="00E20957">
        <w:rPr>
          <w:rFonts w:ascii="Times New Roman" w:hAnsi="Times New Roman"/>
          <w:sz w:val="28"/>
          <w:szCs w:val="28"/>
        </w:rPr>
        <w:t xml:space="preserve"> и А.Ю. </w:t>
      </w:r>
      <w:proofErr w:type="spellStart"/>
      <w:r w:rsidRPr="00E20957">
        <w:rPr>
          <w:rFonts w:ascii="Times New Roman" w:hAnsi="Times New Roman"/>
          <w:sz w:val="28"/>
          <w:szCs w:val="28"/>
        </w:rPr>
        <w:t>Шалыто</w:t>
      </w:r>
      <w:proofErr w:type="spellEnd"/>
      <w:r w:rsidRPr="00E20957">
        <w:rPr>
          <w:rFonts w:ascii="Times New Roman" w:hAnsi="Times New Roman"/>
          <w:sz w:val="28"/>
          <w:szCs w:val="28"/>
        </w:rPr>
        <w:t xml:space="preserve">; 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 xml:space="preserve">Определение индекса групповой сплоченности </w:t>
      </w:r>
      <w:proofErr w:type="spellStart"/>
      <w:r w:rsidRPr="00E20957">
        <w:rPr>
          <w:rFonts w:ascii="Times New Roman" w:hAnsi="Times New Roman"/>
          <w:sz w:val="28"/>
          <w:szCs w:val="28"/>
        </w:rPr>
        <w:t>Сишора</w:t>
      </w:r>
      <w:proofErr w:type="spellEnd"/>
      <w:r w:rsidRPr="00E20957">
        <w:rPr>
          <w:rFonts w:ascii="Times New Roman" w:hAnsi="Times New Roman"/>
          <w:sz w:val="28"/>
          <w:szCs w:val="28"/>
        </w:rPr>
        <w:t xml:space="preserve">; 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 xml:space="preserve">Методика определения стиля руководства трудовым коллективом. Разработана В.П. Захаровым на основе </w:t>
      </w:r>
      <w:proofErr w:type="spellStart"/>
      <w:r w:rsidRPr="00E2095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E20957">
        <w:rPr>
          <w:rFonts w:ascii="Times New Roman" w:hAnsi="Times New Roman"/>
          <w:sz w:val="28"/>
          <w:szCs w:val="28"/>
        </w:rPr>
        <w:t xml:space="preserve"> А.Л. Журавлева; 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 xml:space="preserve">Оценка межличностных отношений по методике Т. </w:t>
      </w:r>
      <w:proofErr w:type="spellStart"/>
      <w:r w:rsidRPr="00E20957">
        <w:rPr>
          <w:rFonts w:ascii="Times New Roman" w:hAnsi="Times New Roman"/>
          <w:sz w:val="28"/>
          <w:szCs w:val="28"/>
        </w:rPr>
        <w:t>Лири</w:t>
      </w:r>
      <w:proofErr w:type="spellEnd"/>
      <w:r w:rsidRPr="00E20957">
        <w:rPr>
          <w:rFonts w:ascii="Times New Roman" w:hAnsi="Times New Roman"/>
          <w:sz w:val="28"/>
          <w:szCs w:val="28"/>
        </w:rPr>
        <w:t>.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>Данные аттестации на квалификационную категорию по ДОУ;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bCs/>
          <w:kern w:val="36"/>
          <w:sz w:val="28"/>
          <w:szCs w:val="28"/>
        </w:rPr>
        <w:t xml:space="preserve">Диагностика удовлетворенности трудом Н.П. </w:t>
      </w:r>
      <w:proofErr w:type="spellStart"/>
      <w:r w:rsidRPr="00E20957">
        <w:rPr>
          <w:rFonts w:ascii="Times New Roman" w:hAnsi="Times New Roman"/>
          <w:bCs/>
          <w:kern w:val="36"/>
          <w:sz w:val="28"/>
          <w:szCs w:val="28"/>
        </w:rPr>
        <w:t>Фетискина</w:t>
      </w:r>
      <w:proofErr w:type="spellEnd"/>
      <w:r w:rsidRPr="00E20957">
        <w:rPr>
          <w:rFonts w:ascii="Times New Roman" w:hAnsi="Times New Roman"/>
          <w:bCs/>
          <w:kern w:val="36"/>
          <w:sz w:val="28"/>
          <w:szCs w:val="28"/>
        </w:rPr>
        <w:t>, В.В. Козлова;</w:t>
      </w:r>
    </w:p>
    <w:p w:rsidR="00E20957" w:rsidRPr="00E20957" w:rsidRDefault="00E20957" w:rsidP="00E209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bCs/>
          <w:kern w:val="36"/>
          <w:sz w:val="28"/>
          <w:szCs w:val="28"/>
        </w:rPr>
        <w:t>Диагностика творческого климата в коллективе Рогова Е.И.</w:t>
      </w:r>
    </w:p>
    <w:p w:rsidR="00E20957" w:rsidRPr="00E20957" w:rsidRDefault="00E20957" w:rsidP="00E209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957">
        <w:rPr>
          <w:rFonts w:ascii="Times New Roman" w:hAnsi="Times New Roman"/>
          <w:color w:val="000000"/>
          <w:sz w:val="28"/>
          <w:szCs w:val="28"/>
        </w:rPr>
        <w:t xml:space="preserve">Анализ результатов </w:t>
      </w:r>
      <w:r w:rsidR="0027527F">
        <w:rPr>
          <w:rFonts w:ascii="Times New Roman" w:hAnsi="Times New Roman"/>
          <w:color w:val="000000"/>
          <w:sz w:val="28"/>
          <w:szCs w:val="28"/>
        </w:rPr>
        <w:t xml:space="preserve">на начало </w:t>
      </w:r>
      <w:r w:rsidRPr="00E20957">
        <w:rPr>
          <w:rFonts w:ascii="Times New Roman" w:hAnsi="Times New Roman"/>
          <w:color w:val="000000"/>
          <w:sz w:val="28"/>
          <w:szCs w:val="28"/>
        </w:rPr>
        <w:t>исследования позволил определить уровень развития компонентов психологического климата, а также групповой сплоченности</w:t>
      </w:r>
      <w:r w:rsidR="0027527F">
        <w:rPr>
          <w:rFonts w:ascii="Times New Roman" w:hAnsi="Times New Roman"/>
          <w:color w:val="000000"/>
          <w:sz w:val="28"/>
          <w:szCs w:val="28"/>
        </w:rPr>
        <w:t xml:space="preserve">, данные о квалификационных категориях педагогов. </w:t>
      </w:r>
      <w:r w:rsidRPr="00E20957">
        <w:rPr>
          <w:rFonts w:ascii="Times New Roman" w:hAnsi="Times New Roman"/>
          <w:color w:val="000000"/>
          <w:sz w:val="28"/>
          <w:szCs w:val="28"/>
        </w:rPr>
        <w:t>Данные представлены на рисунках 1</w:t>
      </w:r>
      <w:r w:rsidR="0027527F">
        <w:rPr>
          <w:rFonts w:ascii="Times New Roman" w:hAnsi="Times New Roman"/>
          <w:color w:val="000000"/>
          <w:sz w:val="28"/>
          <w:szCs w:val="28"/>
        </w:rPr>
        <w:t>, 2</w:t>
      </w:r>
      <w:r w:rsidRPr="00E2095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7527F">
        <w:rPr>
          <w:rFonts w:ascii="Times New Roman" w:hAnsi="Times New Roman"/>
          <w:color w:val="000000"/>
          <w:sz w:val="28"/>
          <w:szCs w:val="28"/>
        </w:rPr>
        <w:t>3</w:t>
      </w:r>
      <w:r w:rsidRPr="00E20957">
        <w:rPr>
          <w:rFonts w:ascii="Times New Roman" w:hAnsi="Times New Roman"/>
          <w:color w:val="000000"/>
          <w:sz w:val="28"/>
          <w:szCs w:val="28"/>
        </w:rPr>
        <w:t xml:space="preserve"> соответственно.</w:t>
      </w:r>
    </w:p>
    <w:p w:rsidR="00E20957" w:rsidRPr="00E20957" w:rsidRDefault="00E20957" w:rsidP="00E209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957" w:rsidRPr="00E20957" w:rsidRDefault="00E20957" w:rsidP="0027527F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20957">
        <w:rPr>
          <w:noProof/>
          <w:sz w:val="28"/>
          <w:szCs w:val="28"/>
        </w:rPr>
        <w:drawing>
          <wp:inline distT="0" distB="0" distL="0" distR="0">
            <wp:extent cx="4391377" cy="1377244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0957" w:rsidRPr="0027527F" w:rsidRDefault="00E20957" w:rsidP="00E20957">
      <w:pPr>
        <w:pStyle w:val="a6"/>
        <w:spacing w:before="0" w:beforeAutospacing="0" w:after="0" w:afterAutospacing="0"/>
        <w:jc w:val="center"/>
        <w:rPr>
          <w:i/>
        </w:rPr>
      </w:pPr>
      <w:r w:rsidRPr="0027527F">
        <w:rPr>
          <w:b/>
        </w:rPr>
        <w:t>Рис. 1. Компоненты психологического климата в коллективе ДС</w:t>
      </w:r>
    </w:p>
    <w:p w:rsidR="00E20957" w:rsidRPr="00E20957" w:rsidRDefault="00E20957" w:rsidP="00E20957">
      <w:pPr>
        <w:pStyle w:val="a6"/>
        <w:jc w:val="center"/>
        <w:rPr>
          <w:sz w:val="28"/>
          <w:szCs w:val="28"/>
        </w:rPr>
      </w:pPr>
      <w:r w:rsidRPr="00E20957">
        <w:rPr>
          <w:i/>
          <w:noProof/>
          <w:sz w:val="28"/>
          <w:szCs w:val="28"/>
        </w:rPr>
        <w:drawing>
          <wp:inline distT="0" distB="0" distL="0" distR="0">
            <wp:extent cx="4560711" cy="1354667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0957" w:rsidRPr="0027527F" w:rsidRDefault="00E20957" w:rsidP="00E20957">
      <w:pPr>
        <w:pStyle w:val="a6"/>
        <w:jc w:val="center"/>
      </w:pPr>
      <w:r w:rsidRPr="0027527F">
        <w:rPr>
          <w:b/>
        </w:rPr>
        <w:t xml:space="preserve">Рис.2. Групповая сплоченность в коллективе ДС </w:t>
      </w:r>
    </w:p>
    <w:p w:rsidR="00DF3684" w:rsidRDefault="00E20957" w:rsidP="00E20957">
      <w:pPr>
        <w:spacing w:before="30" w:after="3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095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125306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0957" w:rsidRPr="0027527F" w:rsidRDefault="00E20957" w:rsidP="00E20957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r w:rsidRPr="0027527F">
        <w:rPr>
          <w:rFonts w:ascii="Times New Roman" w:hAnsi="Times New Roman"/>
          <w:b/>
          <w:sz w:val="24"/>
          <w:szCs w:val="24"/>
        </w:rPr>
        <w:t>Рис. 3. Данные по квалификационным категориям педагогов.</w:t>
      </w:r>
    </w:p>
    <w:p w:rsidR="00E20957" w:rsidRPr="00E20957" w:rsidRDefault="00E20957" w:rsidP="00E20957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lastRenderedPageBreak/>
        <w:tab/>
        <w:t>А также был зафиксирован уровень  инновационного потенциала коллектива. Данные представлены на рисунке 4.</w:t>
      </w:r>
    </w:p>
    <w:p w:rsidR="00E20957" w:rsidRPr="00E20957" w:rsidRDefault="00E20957" w:rsidP="00DF3684">
      <w:pPr>
        <w:spacing w:before="30" w:after="3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20957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362222" cy="1343378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957" w:rsidRPr="0027527F" w:rsidRDefault="00E20957" w:rsidP="00E20957">
      <w:pPr>
        <w:spacing w:before="30" w:after="3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7527F">
        <w:rPr>
          <w:rFonts w:ascii="Times New Roman" w:hAnsi="Times New Roman"/>
          <w:b/>
          <w:sz w:val="24"/>
          <w:szCs w:val="24"/>
        </w:rPr>
        <w:t>Рис. 4.</w:t>
      </w:r>
      <w:r w:rsidRPr="002752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7527F">
        <w:rPr>
          <w:rFonts w:ascii="Times New Roman" w:hAnsi="Times New Roman"/>
          <w:b/>
          <w:sz w:val="24"/>
          <w:szCs w:val="24"/>
        </w:rPr>
        <w:t>Инновационный потенциал коллектива.</w:t>
      </w:r>
    </w:p>
    <w:p w:rsidR="00E20957" w:rsidRPr="00E20957" w:rsidRDefault="00E20957" w:rsidP="00DF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>В результате  проведения формирующего эксперимента была отмечена положительная динамика в развитии психологического климата и его влияния на показатели  повышения профессион</w:t>
      </w:r>
      <w:r w:rsidR="00DF3684">
        <w:rPr>
          <w:rFonts w:ascii="Times New Roman" w:hAnsi="Times New Roman"/>
          <w:sz w:val="28"/>
          <w:szCs w:val="28"/>
        </w:rPr>
        <w:t xml:space="preserve">ального мастерства педагогов </w:t>
      </w:r>
      <w:r w:rsidR="0027527F">
        <w:rPr>
          <w:rFonts w:ascii="Times New Roman" w:hAnsi="Times New Roman"/>
          <w:sz w:val="28"/>
          <w:szCs w:val="28"/>
        </w:rPr>
        <w:t>детского сада</w:t>
      </w:r>
      <w:r w:rsidRPr="00E20957">
        <w:rPr>
          <w:rFonts w:ascii="Times New Roman" w:hAnsi="Times New Roman"/>
          <w:sz w:val="28"/>
          <w:szCs w:val="28"/>
        </w:rPr>
        <w:t>.</w:t>
      </w:r>
    </w:p>
    <w:p w:rsidR="00E20957" w:rsidRPr="00E20957" w:rsidRDefault="00E20957" w:rsidP="00DF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7">
        <w:rPr>
          <w:rFonts w:ascii="Times New Roman" w:hAnsi="Times New Roman"/>
          <w:sz w:val="28"/>
          <w:szCs w:val="28"/>
        </w:rPr>
        <w:t>Результаты сравнительного анализа констатирующего</w:t>
      </w:r>
      <w:r w:rsidR="00DF3684">
        <w:rPr>
          <w:rFonts w:ascii="Times New Roman" w:hAnsi="Times New Roman"/>
          <w:sz w:val="28"/>
          <w:szCs w:val="28"/>
        </w:rPr>
        <w:t xml:space="preserve"> </w:t>
      </w:r>
      <w:r w:rsidRPr="00E20957">
        <w:rPr>
          <w:rFonts w:ascii="Times New Roman" w:hAnsi="Times New Roman"/>
          <w:sz w:val="28"/>
          <w:szCs w:val="28"/>
        </w:rPr>
        <w:t>(2010-2011уч</w:t>
      </w:r>
      <w:proofErr w:type="gramStart"/>
      <w:r w:rsidRPr="00E20957">
        <w:rPr>
          <w:rFonts w:ascii="Times New Roman" w:hAnsi="Times New Roman"/>
          <w:sz w:val="28"/>
          <w:szCs w:val="28"/>
        </w:rPr>
        <w:t>.г</w:t>
      </w:r>
      <w:proofErr w:type="gramEnd"/>
      <w:r w:rsidRPr="00E20957">
        <w:rPr>
          <w:rFonts w:ascii="Times New Roman" w:hAnsi="Times New Roman"/>
          <w:sz w:val="28"/>
          <w:szCs w:val="28"/>
        </w:rPr>
        <w:t xml:space="preserve">од), формирующего (2011-2012 </w:t>
      </w:r>
      <w:proofErr w:type="spellStart"/>
      <w:r w:rsidRPr="00E20957">
        <w:rPr>
          <w:rFonts w:ascii="Times New Roman" w:hAnsi="Times New Roman"/>
          <w:sz w:val="28"/>
          <w:szCs w:val="28"/>
        </w:rPr>
        <w:t>уч</w:t>
      </w:r>
      <w:proofErr w:type="spellEnd"/>
      <w:r w:rsidRPr="00E20957">
        <w:rPr>
          <w:rFonts w:ascii="Times New Roman" w:hAnsi="Times New Roman"/>
          <w:sz w:val="28"/>
          <w:szCs w:val="28"/>
        </w:rPr>
        <w:t xml:space="preserve">.) и контрольного  (2012-2013 </w:t>
      </w:r>
      <w:proofErr w:type="spellStart"/>
      <w:r w:rsidRPr="00E20957">
        <w:rPr>
          <w:rFonts w:ascii="Times New Roman" w:hAnsi="Times New Roman"/>
          <w:sz w:val="28"/>
          <w:szCs w:val="28"/>
        </w:rPr>
        <w:t>уч.год</w:t>
      </w:r>
      <w:proofErr w:type="spellEnd"/>
      <w:r w:rsidRPr="00E20957">
        <w:rPr>
          <w:rFonts w:ascii="Times New Roman" w:hAnsi="Times New Roman"/>
          <w:sz w:val="28"/>
          <w:szCs w:val="28"/>
        </w:rPr>
        <w:t>) исследований .</w:t>
      </w:r>
    </w:p>
    <w:p w:rsidR="00DF3684" w:rsidRDefault="00E20957" w:rsidP="00E20957">
      <w:pPr>
        <w:spacing w:line="240" w:lineRule="auto"/>
        <w:ind w:right="84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095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136444" cy="1772356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0957" w:rsidRPr="0027527F" w:rsidRDefault="00E20957" w:rsidP="00E20957">
      <w:pPr>
        <w:spacing w:line="240" w:lineRule="auto"/>
        <w:ind w:right="849"/>
        <w:jc w:val="center"/>
        <w:rPr>
          <w:rFonts w:ascii="Times New Roman" w:hAnsi="Times New Roman"/>
          <w:b/>
          <w:sz w:val="24"/>
          <w:szCs w:val="24"/>
        </w:rPr>
      </w:pPr>
      <w:r w:rsidRPr="0027527F">
        <w:rPr>
          <w:rFonts w:ascii="Times New Roman" w:hAnsi="Times New Roman"/>
          <w:b/>
          <w:sz w:val="24"/>
          <w:szCs w:val="24"/>
        </w:rPr>
        <w:t>Рис. 5. Сравнение  уровня инновационного потенциала коллектива</w:t>
      </w:r>
    </w:p>
    <w:p w:rsidR="00DF3684" w:rsidRDefault="00E20957" w:rsidP="002B40C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0957">
        <w:rPr>
          <w:noProof/>
          <w:sz w:val="28"/>
          <w:szCs w:val="28"/>
        </w:rPr>
        <w:drawing>
          <wp:inline distT="0" distB="0" distL="0" distR="0">
            <wp:extent cx="5373511" cy="178364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0957" w:rsidRPr="002B40C4" w:rsidRDefault="00E20957" w:rsidP="002B40C4">
      <w:pPr>
        <w:spacing w:line="240" w:lineRule="auto"/>
        <w:rPr>
          <w:sz w:val="24"/>
          <w:szCs w:val="24"/>
        </w:rPr>
      </w:pPr>
      <w:r w:rsidRPr="002B40C4">
        <w:rPr>
          <w:rFonts w:ascii="Times New Roman" w:hAnsi="Times New Roman"/>
          <w:b/>
          <w:sz w:val="24"/>
          <w:szCs w:val="24"/>
        </w:rPr>
        <w:t>Рис. 6.</w:t>
      </w:r>
      <w:r w:rsidRPr="0027527F">
        <w:rPr>
          <w:rFonts w:ascii="Times New Roman" w:hAnsi="Times New Roman"/>
          <w:b/>
          <w:sz w:val="24"/>
          <w:szCs w:val="24"/>
        </w:rPr>
        <w:t xml:space="preserve"> Уровень квалификационных категорий по результатам аттестации</w:t>
      </w:r>
    </w:p>
    <w:p w:rsidR="0027527F" w:rsidRPr="00EE608A" w:rsidRDefault="0027527F" w:rsidP="00275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t xml:space="preserve">Апробация и внедрение результатов исследования осуществлялись в процессе обсуждения на педагогических советах, методических объединениях для работников </w:t>
      </w:r>
      <w:r w:rsidR="002B40C4">
        <w:rPr>
          <w:rFonts w:ascii="Times New Roman" w:hAnsi="Times New Roman"/>
          <w:sz w:val="28"/>
          <w:szCs w:val="28"/>
        </w:rPr>
        <w:t>дошкольного образования</w:t>
      </w:r>
      <w:r w:rsidRPr="00EE608A">
        <w:rPr>
          <w:rFonts w:ascii="Times New Roman" w:hAnsi="Times New Roman"/>
          <w:sz w:val="28"/>
          <w:szCs w:val="28"/>
        </w:rPr>
        <w:t xml:space="preserve"> г.о</w:t>
      </w:r>
      <w:proofErr w:type="gramStart"/>
      <w:r w:rsidRPr="00EE608A">
        <w:rPr>
          <w:rFonts w:ascii="Times New Roman" w:hAnsi="Times New Roman"/>
          <w:sz w:val="28"/>
          <w:szCs w:val="28"/>
        </w:rPr>
        <w:t>.Т</w:t>
      </w:r>
      <w:proofErr w:type="gramEnd"/>
      <w:r w:rsidRPr="00EE608A">
        <w:rPr>
          <w:rFonts w:ascii="Times New Roman" w:hAnsi="Times New Roman"/>
          <w:sz w:val="28"/>
          <w:szCs w:val="28"/>
        </w:rPr>
        <w:t>ольятти (2011-2013), на кафедре педагогики и методик преподавания Тольяттинског</w:t>
      </w:r>
      <w:r>
        <w:rPr>
          <w:rFonts w:ascii="Times New Roman" w:hAnsi="Times New Roman"/>
          <w:sz w:val="28"/>
          <w:szCs w:val="28"/>
        </w:rPr>
        <w:t>о государственного университета</w:t>
      </w:r>
      <w:r w:rsidRPr="00EE608A">
        <w:rPr>
          <w:rFonts w:ascii="Times New Roman" w:hAnsi="Times New Roman"/>
          <w:sz w:val="28"/>
          <w:szCs w:val="28"/>
        </w:rPr>
        <w:t>.</w:t>
      </w:r>
    </w:p>
    <w:p w:rsidR="0027527F" w:rsidRPr="00EE608A" w:rsidRDefault="0027527F" w:rsidP="00275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08A">
        <w:rPr>
          <w:rFonts w:ascii="Times New Roman" w:hAnsi="Times New Roman"/>
          <w:sz w:val="28"/>
          <w:szCs w:val="28"/>
        </w:rPr>
        <w:lastRenderedPageBreak/>
        <w:t xml:space="preserve">Основные результаты исследования докладывались на научно-практических конференциях: </w:t>
      </w:r>
    </w:p>
    <w:p w:rsidR="0027527F" w:rsidRPr="00EE608A" w:rsidRDefault="0027527F" w:rsidP="00275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608A">
        <w:rPr>
          <w:rFonts w:ascii="Times New Roman" w:hAnsi="Times New Roman"/>
          <w:sz w:val="28"/>
          <w:szCs w:val="28"/>
          <w:lang w:val="en-US"/>
        </w:rPr>
        <w:t>II</w:t>
      </w:r>
      <w:r w:rsidRPr="00EE608A">
        <w:rPr>
          <w:rFonts w:ascii="Times New Roman" w:hAnsi="Times New Roman"/>
          <w:sz w:val="28"/>
          <w:szCs w:val="28"/>
        </w:rPr>
        <w:t xml:space="preserve"> Всероссийская с международным участием студенческой научно-практической конференции «Научно-исследовательская деятельность студентов – вклад в науку будущего» (Тольятти, 2011);</w:t>
      </w:r>
    </w:p>
    <w:p w:rsidR="0027527F" w:rsidRDefault="0027527F" w:rsidP="00275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608A">
        <w:rPr>
          <w:rFonts w:ascii="Times New Roman" w:hAnsi="Times New Roman"/>
          <w:sz w:val="28"/>
          <w:szCs w:val="28"/>
        </w:rPr>
        <w:t>Региональная студенческая научная конференция «Проблемы об</w:t>
      </w:r>
      <w:r w:rsidR="002B40C4">
        <w:rPr>
          <w:rFonts w:ascii="Times New Roman" w:hAnsi="Times New Roman"/>
          <w:sz w:val="28"/>
          <w:szCs w:val="28"/>
        </w:rPr>
        <w:t>разования на современном этапе», выпуск 1 (Ульяновск, 2012).</w:t>
      </w:r>
    </w:p>
    <w:p w:rsidR="002B40C4" w:rsidRPr="002B40C4" w:rsidRDefault="002B40C4" w:rsidP="002B40C4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 xml:space="preserve">В ходе  проведенных исследований было  </w:t>
      </w:r>
      <w:proofErr w:type="gramStart"/>
      <w:r w:rsidRPr="002B40C4">
        <w:rPr>
          <w:rFonts w:ascii="Times New Roman" w:hAnsi="Times New Roman"/>
          <w:bCs/>
          <w:kern w:val="36"/>
          <w:sz w:val="28"/>
          <w:szCs w:val="28"/>
        </w:rPr>
        <w:t>выявлены</w:t>
      </w:r>
      <w:proofErr w:type="gramEnd"/>
      <w:r w:rsidRPr="002B40C4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2B40C4" w:rsidRPr="002B40C4" w:rsidRDefault="002B40C4" w:rsidP="002B40C4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>- влияние психологического климата на повышение профессионального мастерства педагогов, а в частности:</w:t>
      </w:r>
    </w:p>
    <w:p w:rsidR="002B40C4" w:rsidRPr="002B40C4" w:rsidRDefault="002B40C4" w:rsidP="002B40C4">
      <w:pPr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 xml:space="preserve">положительное влияние  психологического климата коллектива на степень увлеченности. </w:t>
      </w:r>
    </w:p>
    <w:p w:rsidR="002B40C4" w:rsidRPr="002B40C4" w:rsidRDefault="002B40C4" w:rsidP="002B40C4">
      <w:pPr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>положительное взаимовлияние между такими факторами психологического климата, как пассивность (энтузиазм) персонала к трудовой деятельности и удовлетворенность условиями труда.</w:t>
      </w:r>
    </w:p>
    <w:p w:rsidR="002B40C4" w:rsidRPr="002B40C4" w:rsidRDefault="002B40C4" w:rsidP="002B40C4">
      <w:pPr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 xml:space="preserve">положительное взаимовлияние между интересом к работе сотрудников коллектива и их удовлетворенностью взаимоотношениями с руководителем. </w:t>
      </w:r>
    </w:p>
    <w:p w:rsidR="002B40C4" w:rsidRPr="002B40C4" w:rsidRDefault="002B40C4" w:rsidP="002B40C4">
      <w:pPr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>взаимосвязь между равнодушием (увлеченностью) к работе и интересом к выполняемой деятельности.</w:t>
      </w:r>
    </w:p>
    <w:p w:rsidR="002B40C4" w:rsidRPr="002B40C4" w:rsidRDefault="002B40C4" w:rsidP="002B40C4">
      <w:pPr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2B40C4">
        <w:rPr>
          <w:rFonts w:ascii="Times New Roman" w:hAnsi="Times New Roman"/>
          <w:bCs/>
          <w:kern w:val="36"/>
          <w:sz w:val="28"/>
          <w:szCs w:val="28"/>
        </w:rPr>
        <w:t>положительное взаимовлияние между новаторством (консерватизмом) и удовлетворенностью взаимоотношениями с сотрудниками.</w:t>
      </w:r>
    </w:p>
    <w:p w:rsidR="002B40C4" w:rsidRPr="002B40C4" w:rsidRDefault="002B40C4" w:rsidP="002B40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C4">
        <w:rPr>
          <w:rFonts w:ascii="Times New Roman" w:hAnsi="Times New Roman"/>
          <w:sz w:val="28"/>
          <w:szCs w:val="28"/>
        </w:rPr>
        <w:t xml:space="preserve">Проведенное нами исследование не исчерпывает всех возможных аспектов изучения данной проблемы.  Дальнейшая работа посвящена исследованиям на нескольких базах, при сравнении полученных результатов, </w:t>
      </w:r>
      <w:r>
        <w:rPr>
          <w:rFonts w:ascii="Times New Roman" w:hAnsi="Times New Roman"/>
          <w:sz w:val="28"/>
          <w:szCs w:val="28"/>
        </w:rPr>
        <w:t>будет</w:t>
      </w:r>
      <w:r w:rsidRPr="002B40C4">
        <w:rPr>
          <w:rFonts w:ascii="Times New Roman" w:hAnsi="Times New Roman"/>
          <w:sz w:val="28"/>
          <w:szCs w:val="28"/>
        </w:rPr>
        <w:t xml:space="preserve"> выведена более достоверная закономерность влияния компонентов психологического климата в коллективе на повышение профессионального мастерства педагога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2B40C4">
        <w:rPr>
          <w:rFonts w:ascii="Times New Roman" w:hAnsi="Times New Roman"/>
          <w:sz w:val="28"/>
          <w:szCs w:val="28"/>
        </w:rPr>
        <w:t>.</w:t>
      </w:r>
    </w:p>
    <w:p w:rsidR="00F417CF" w:rsidRDefault="00F417CF" w:rsidP="002B40C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B40C4" w:rsidRDefault="002B40C4" w:rsidP="002B4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0C4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33372E" w:rsidRPr="0033372E" w:rsidRDefault="0033372E" w:rsidP="003337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72E">
        <w:rPr>
          <w:rFonts w:ascii="Times New Roman" w:hAnsi="Times New Roman"/>
          <w:color w:val="000000"/>
          <w:sz w:val="28"/>
          <w:szCs w:val="28"/>
        </w:rPr>
        <w:t xml:space="preserve">Новиков, А.М. Процесс и методы формирования трудовых умений [Текст] / А.М. Новиков. - М.: </w:t>
      </w:r>
      <w:proofErr w:type="spellStart"/>
      <w:r w:rsidRPr="0033372E"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рдарики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2006. </w:t>
      </w:r>
    </w:p>
    <w:p w:rsidR="0033372E" w:rsidRPr="0033372E" w:rsidRDefault="0033372E" w:rsidP="003337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72E">
        <w:rPr>
          <w:rFonts w:ascii="Times New Roman" w:hAnsi="Times New Roman"/>
          <w:color w:val="000000"/>
          <w:sz w:val="28"/>
          <w:szCs w:val="28"/>
        </w:rPr>
        <w:t>Новиков, А.М. Российское образование в новой эпохе [Текст] / А.М. Новиков.</w:t>
      </w:r>
      <w:r>
        <w:rPr>
          <w:rFonts w:ascii="Times New Roman" w:hAnsi="Times New Roman"/>
          <w:color w:val="000000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2000. </w:t>
      </w:r>
    </w:p>
    <w:p w:rsidR="0033372E" w:rsidRPr="0033372E" w:rsidRDefault="0033372E" w:rsidP="003337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72E">
        <w:rPr>
          <w:rFonts w:ascii="Times New Roman" w:hAnsi="Times New Roman"/>
          <w:color w:val="000000"/>
          <w:sz w:val="28"/>
          <w:szCs w:val="28"/>
        </w:rPr>
        <w:t>Осипова, Е. «Оценка персонала мотивирует к работе» [Текст] / Е. Осипова //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 и бизнес. - 2000. </w:t>
      </w:r>
    </w:p>
    <w:p w:rsidR="0033372E" w:rsidRPr="0033372E" w:rsidRDefault="0033372E" w:rsidP="003337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72E">
        <w:rPr>
          <w:rFonts w:ascii="Times New Roman" w:hAnsi="Times New Roman"/>
          <w:color w:val="000000"/>
          <w:sz w:val="28"/>
          <w:szCs w:val="28"/>
        </w:rPr>
        <w:t>Романова, Г.В. Формирование творческих умений в процессе профессионального обучения [Текст] / Г.В. Романова, В.Н. Романенко. - СПб</w:t>
      </w:r>
      <w:proofErr w:type="gramStart"/>
      <w:r w:rsidRPr="0033372E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33372E">
        <w:rPr>
          <w:rFonts w:ascii="Times New Roman" w:hAnsi="Times New Roman"/>
          <w:color w:val="000000"/>
          <w:sz w:val="28"/>
          <w:szCs w:val="28"/>
        </w:rPr>
        <w:t>Изд-во Санкт-Петербургск</w:t>
      </w:r>
      <w:r>
        <w:rPr>
          <w:rFonts w:ascii="Times New Roman" w:hAnsi="Times New Roman"/>
          <w:color w:val="000000"/>
          <w:sz w:val="28"/>
          <w:szCs w:val="28"/>
        </w:rPr>
        <w:t xml:space="preserve">ого университета, 2002. </w:t>
      </w:r>
    </w:p>
    <w:p w:rsidR="0033372E" w:rsidRPr="0033372E" w:rsidRDefault="0033372E" w:rsidP="0033372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372E">
        <w:rPr>
          <w:rFonts w:ascii="Times New Roman" w:hAnsi="Times New Roman"/>
          <w:color w:val="000000"/>
          <w:sz w:val="28"/>
          <w:szCs w:val="28"/>
        </w:rPr>
        <w:t>Рудюк</w:t>
      </w:r>
      <w:proofErr w:type="spellEnd"/>
      <w:r w:rsidRPr="0033372E">
        <w:rPr>
          <w:rFonts w:ascii="Times New Roman" w:hAnsi="Times New Roman"/>
          <w:color w:val="000000"/>
          <w:sz w:val="28"/>
          <w:szCs w:val="28"/>
        </w:rPr>
        <w:t xml:space="preserve">, И.В. Мониторинг и системы </w:t>
      </w:r>
      <w:proofErr w:type="gramStart"/>
      <w:r w:rsidRPr="0033372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3372E">
        <w:rPr>
          <w:rFonts w:ascii="Times New Roman" w:hAnsi="Times New Roman"/>
          <w:color w:val="000000"/>
          <w:sz w:val="28"/>
          <w:szCs w:val="28"/>
        </w:rPr>
        <w:t xml:space="preserve"> деятельностью персонала [Текст] / И.В. </w:t>
      </w:r>
      <w:proofErr w:type="spellStart"/>
      <w:r w:rsidRPr="0033372E">
        <w:rPr>
          <w:rFonts w:ascii="Times New Roman" w:hAnsi="Times New Roman"/>
          <w:color w:val="000000"/>
          <w:sz w:val="28"/>
          <w:szCs w:val="28"/>
        </w:rPr>
        <w:t>Рудюк</w:t>
      </w:r>
      <w:proofErr w:type="spellEnd"/>
      <w:r w:rsidRPr="0033372E">
        <w:rPr>
          <w:rFonts w:ascii="Times New Roman" w:hAnsi="Times New Roman"/>
          <w:color w:val="000000"/>
          <w:sz w:val="28"/>
          <w:szCs w:val="28"/>
        </w:rPr>
        <w:t>, И.Н. Степанова // Справочник по управлению персо</w:t>
      </w:r>
      <w:r>
        <w:rPr>
          <w:rFonts w:ascii="Times New Roman" w:hAnsi="Times New Roman"/>
          <w:color w:val="000000"/>
          <w:sz w:val="28"/>
          <w:szCs w:val="28"/>
        </w:rPr>
        <w:t xml:space="preserve">налом. - 2002. - №3. </w:t>
      </w:r>
    </w:p>
    <w:p w:rsidR="002B40C4" w:rsidRPr="002B40C4" w:rsidRDefault="002B40C4" w:rsidP="002B4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B40C4" w:rsidRPr="002B40C4" w:rsidSect="00F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6CF"/>
    <w:multiLevelType w:val="hybridMultilevel"/>
    <w:tmpl w:val="0314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99D1ACD"/>
    <w:multiLevelType w:val="hybridMultilevel"/>
    <w:tmpl w:val="A5D20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990D89"/>
    <w:multiLevelType w:val="hybridMultilevel"/>
    <w:tmpl w:val="5C549EE8"/>
    <w:lvl w:ilvl="0" w:tplc="ABE27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6223"/>
    <w:multiLevelType w:val="hybridMultilevel"/>
    <w:tmpl w:val="A7C2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8AD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66D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A13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055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A95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4FE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0F0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AAB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4E4F6D"/>
    <w:multiLevelType w:val="hybridMultilevel"/>
    <w:tmpl w:val="A49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608A"/>
    <w:rsid w:val="0027527F"/>
    <w:rsid w:val="002B40C4"/>
    <w:rsid w:val="0033372E"/>
    <w:rsid w:val="007D6965"/>
    <w:rsid w:val="009C168E"/>
    <w:rsid w:val="00DD62A7"/>
    <w:rsid w:val="00DF3684"/>
    <w:rsid w:val="00E20957"/>
    <w:rsid w:val="00EE608A"/>
    <w:rsid w:val="00F417CF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60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E6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E608A"/>
  </w:style>
  <w:style w:type="paragraph" w:styleId="a5">
    <w:name w:val="List Paragraph"/>
    <w:basedOn w:val="a"/>
    <w:uiPriority w:val="34"/>
    <w:qFormat/>
    <w:rsid w:val="00E209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0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231270358306265E-2"/>
          <c:y val="2.0639642266938856E-2"/>
          <c:w val="0.93485342019543971"/>
          <c:h val="0.702901278754297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противоречиво</c:v>
                </c:pt>
              </c:strCache>
            </c:strRef>
          </c:tx>
          <c:spPr>
            <a:solidFill>
              <a:srgbClr val="9999FF"/>
            </a:solidFill>
            <a:ln w="100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эмоциональный компонент</c:v>
                </c:pt>
                <c:pt idx="1">
                  <c:v>когнитивный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rgbClr val="993366"/>
            </a:solidFill>
            <a:ln w="100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эмоциональный компонент</c:v>
                </c:pt>
                <c:pt idx="1">
                  <c:v>когнитивный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rgbClr val="FFFFCC"/>
            </a:solidFill>
            <a:ln w="1005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эмоциональный компонент</c:v>
                </c:pt>
                <c:pt idx="1">
                  <c:v>когнитивный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1">
                  <c:v>46</c:v>
                </c:pt>
                <c:pt idx="2">
                  <c:v>40</c:v>
                </c:pt>
              </c:numCache>
            </c:numRef>
          </c:val>
        </c:ser>
        <c:axId val="82128896"/>
        <c:axId val="82130432"/>
      </c:barChart>
      <c:catAx>
        <c:axId val="82128896"/>
        <c:scaling>
          <c:orientation val="minMax"/>
        </c:scaling>
        <c:axPos val="b"/>
        <c:numFmt formatCode="0.00%" sourceLinked="0"/>
        <c:tickLblPos val="low"/>
        <c:spPr>
          <a:ln w="25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30432"/>
        <c:crosses val="autoZero"/>
        <c:auto val="1"/>
        <c:lblAlgn val="ctr"/>
        <c:lblOffset val="100"/>
        <c:tickLblSkip val="1"/>
        <c:tickMarkSkip val="1"/>
      </c:catAx>
      <c:valAx>
        <c:axId val="82130432"/>
        <c:scaling>
          <c:orientation val="minMax"/>
          <c:max val="60"/>
        </c:scaling>
        <c:axPos val="l"/>
        <c:majorGridlines>
          <c:spPr>
            <a:ln w="25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28896"/>
        <c:crosses val="autoZero"/>
        <c:crossBetween val="between"/>
        <c:majorUnit val="10"/>
        <c:minorUnit val="2"/>
      </c:valAx>
      <c:spPr>
        <a:solidFill>
          <a:srgbClr val="FFFFFF"/>
        </a:solidFill>
        <a:ln w="10051">
          <a:solidFill>
            <a:srgbClr val="FFFFFF"/>
          </a:solidFill>
          <a:prstDash val="solid"/>
        </a:ln>
      </c:spPr>
    </c:plotArea>
    <c:legend>
      <c:legendPos val="r"/>
      <c:spPr>
        <a:noFill/>
        <a:ln w="2513">
          <a:solidFill>
            <a:srgbClr val="000000"/>
          </a:solidFill>
          <a:prstDash val="solid"/>
        </a:ln>
      </c:spPr>
      <c:txPr>
        <a:bodyPr/>
        <a:lstStyle/>
        <a:p>
          <a:pPr>
            <a:defRPr sz="58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571428571428575E-2"/>
          <c:y val="9.9137931034482762E-2"/>
          <c:w val="0.75238095238095271"/>
          <c:h val="0.70689655172413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10618">
              <a:solidFill>
                <a:srgbClr val="000000"/>
              </a:solidFill>
              <a:prstDash val="solid"/>
            </a:ln>
          </c:spPr>
          <c:dLbls>
            <c:spPr>
              <a:noFill/>
              <a:ln w="21237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0618">
              <a:solidFill>
                <a:srgbClr val="000000"/>
              </a:solidFill>
              <a:prstDash val="solid"/>
            </a:ln>
          </c:spPr>
          <c:dLbls>
            <c:spPr>
              <a:noFill/>
              <a:ln w="21237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061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1237">
                  <a:noFill/>
                </a:ln>
              </c:spPr>
              <c:txPr>
                <a:bodyPr/>
                <a:lstStyle/>
                <a:p>
                  <a:pPr>
                    <a:defRPr sz="85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gapWidth val="500"/>
        <c:axId val="82848000"/>
        <c:axId val="82897536"/>
      </c:barChart>
      <c:catAx>
        <c:axId val="82848000"/>
        <c:scaling>
          <c:orientation val="minMax"/>
        </c:scaling>
        <c:axPos val="b"/>
        <c:numFmt formatCode="General" sourceLinked="1"/>
        <c:tickLblPos val="nextTo"/>
        <c:spPr>
          <a:ln w="26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97536"/>
        <c:crosses val="autoZero"/>
        <c:auto val="1"/>
        <c:lblAlgn val="ctr"/>
        <c:lblOffset val="100"/>
        <c:tickLblSkip val="1"/>
        <c:tickMarkSkip val="1"/>
      </c:catAx>
      <c:valAx>
        <c:axId val="82897536"/>
        <c:scaling>
          <c:orientation val="minMax"/>
        </c:scaling>
        <c:axPos val="l"/>
        <c:majorGridlines>
          <c:spPr>
            <a:ln w="26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848000"/>
        <c:crosses val="autoZero"/>
        <c:crossBetween val="between"/>
      </c:valAx>
      <c:spPr>
        <a:solidFill>
          <a:srgbClr val="C0C0C0"/>
        </a:solidFill>
        <a:ln w="10618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6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190475542191168"/>
          <c:y val="0.31034506564413328"/>
          <c:w val="0.15047623423542994"/>
          <c:h val="0.67903707473332064"/>
        </c:manualLayout>
      </c:layout>
      <c:spPr>
        <a:noFill/>
        <a:ln w="2655">
          <a:solidFill>
            <a:srgbClr val="000000"/>
          </a:solidFill>
          <a:prstDash val="solid"/>
        </a:ln>
      </c:spPr>
      <c:txPr>
        <a:bodyPr/>
        <a:lstStyle/>
        <a:p>
          <a:pPr>
            <a:defRPr sz="7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538200339558571E-2"/>
          <c:y val="4.8387096774193554E-2"/>
          <c:w val="0.78268251273344669"/>
          <c:h val="0.7688172043010761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1119">
              <a:solidFill>
                <a:srgbClr val="000000"/>
              </a:solidFill>
              <a:prstDash val="solid"/>
            </a:ln>
          </c:spPr>
          <c:dLbls>
            <c:spPr>
              <a:noFill/>
              <a:ln w="22238">
                <a:noFill/>
              </a:ln>
            </c:spPr>
            <c:txPr>
              <a:bodyPr/>
              <a:lstStyle/>
              <a:p>
                <a:pPr>
                  <a:defRPr sz="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1119">
              <a:solidFill>
                <a:srgbClr val="000000"/>
              </a:solidFill>
              <a:prstDash val="solid"/>
            </a:ln>
          </c:spPr>
          <c:dLbls>
            <c:spPr>
              <a:noFill/>
              <a:ln w="22238">
                <a:noFill/>
              </a:ln>
            </c:spPr>
            <c:txPr>
              <a:bodyPr/>
              <a:lstStyle/>
              <a:p>
                <a:pPr>
                  <a:defRPr sz="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1119">
              <a:solidFill>
                <a:srgbClr val="000000"/>
              </a:solidFill>
              <a:prstDash val="solid"/>
            </a:ln>
          </c:spPr>
          <c:dLbls>
            <c:spPr>
              <a:noFill/>
              <a:ln w="22238">
                <a:noFill/>
              </a:ln>
            </c:spPr>
            <c:txPr>
              <a:bodyPr/>
              <a:lstStyle/>
              <a:p>
                <a:pPr>
                  <a:defRPr sz="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1119">
              <a:solidFill>
                <a:srgbClr val="000000"/>
              </a:solidFill>
              <a:prstDash val="solid"/>
            </a:ln>
          </c:spPr>
          <c:dLbls>
            <c:spPr>
              <a:noFill/>
              <a:ln w="22238">
                <a:noFill/>
              </a:ln>
            </c:spPr>
            <c:txPr>
              <a:bodyPr/>
              <a:lstStyle/>
              <a:p>
                <a:pPr>
                  <a:defRPr sz="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gapWidth val="500"/>
        <c:axId val="90795392"/>
        <c:axId val="81036416"/>
      </c:barChart>
      <c:catAx>
        <c:axId val="90795392"/>
        <c:scaling>
          <c:orientation val="minMax"/>
        </c:scaling>
        <c:axPos val="b"/>
        <c:numFmt formatCode="General" sourceLinked="1"/>
        <c:tickLblPos val="low"/>
        <c:spPr>
          <a:ln w="2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36416"/>
        <c:crosses val="autoZero"/>
        <c:auto val="1"/>
        <c:lblAlgn val="ctr"/>
        <c:lblOffset val="100"/>
        <c:tickLblSkip val="1"/>
        <c:tickMarkSkip val="1"/>
      </c:catAx>
      <c:valAx>
        <c:axId val="81036416"/>
        <c:scaling>
          <c:orientation val="minMax"/>
        </c:scaling>
        <c:axPos val="l"/>
        <c:majorGridlines>
          <c:spPr>
            <a:ln w="27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795392"/>
        <c:crosses val="autoZero"/>
        <c:crossBetween val="between"/>
      </c:valAx>
      <c:spPr>
        <a:solidFill>
          <a:srgbClr val="C0C0C0"/>
        </a:solidFill>
        <a:ln w="111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89654418197724"/>
          <c:y val="0.12739103626451492"/>
          <c:w val="0.15110339271516043"/>
          <c:h val="0.63764142833910376"/>
        </c:manualLayout>
      </c:layout>
      <c:spPr>
        <a:noFill/>
        <a:ln w="2780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38200339558571E-2"/>
          <c:y val="4.9450549450549483E-2"/>
          <c:w val="0.71477079796264853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положительное отношение к инновациям</c:v>
                </c:pt>
              </c:strCache>
            </c:strRef>
          </c:tx>
          <c:spPr>
            <a:solidFill>
              <a:srgbClr val="9999FF"/>
            </a:solidFill>
            <a:ln w="1071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осторожное</c:v>
                </c:pt>
              </c:strCache>
            </c:strRef>
          </c:tx>
          <c:spPr>
            <a:solidFill>
              <a:srgbClr val="993366"/>
            </a:solidFill>
            <a:ln w="1071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боязливое</c:v>
                </c:pt>
              </c:strCache>
            </c:strRef>
          </c:tx>
          <c:spPr>
            <a:solidFill>
              <a:srgbClr val="FFFFCC"/>
            </a:solidFill>
            <a:ln w="1071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gapWidth val="500"/>
        <c:gapDepth val="0"/>
        <c:shape val="box"/>
        <c:axId val="82233216"/>
        <c:axId val="82234752"/>
        <c:axId val="0"/>
      </c:bar3DChart>
      <c:catAx>
        <c:axId val="82233216"/>
        <c:scaling>
          <c:orientation val="minMax"/>
        </c:scaling>
        <c:axPos val="b"/>
        <c:numFmt formatCode="General" sourceLinked="1"/>
        <c:tickLblPos val="low"/>
        <c:spPr>
          <a:ln w="26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234752"/>
        <c:crosses val="autoZero"/>
        <c:auto val="1"/>
        <c:lblAlgn val="ctr"/>
        <c:lblOffset val="100"/>
        <c:tickLblSkip val="1"/>
        <c:tickMarkSkip val="1"/>
      </c:catAx>
      <c:valAx>
        <c:axId val="82234752"/>
        <c:scaling>
          <c:orientation val="minMax"/>
        </c:scaling>
        <c:axPos val="l"/>
        <c:majorGridlines>
          <c:spPr>
            <a:ln w="26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233216"/>
        <c:crosses val="autoZero"/>
        <c:crossBetween val="between"/>
      </c:valAx>
      <c:spPr>
        <a:noFill/>
        <a:ln w="21427">
          <a:noFill/>
        </a:ln>
      </c:spPr>
    </c:plotArea>
    <c:legend>
      <c:legendPos val="r"/>
      <c:layout>
        <c:manualLayout>
          <c:xMode val="edge"/>
          <c:yMode val="edge"/>
          <c:x val="0.78947380189367622"/>
          <c:y val="0.22527528259044788"/>
          <c:w val="0.13505110381479921"/>
          <c:h val="0.54945103216495483"/>
        </c:manualLayout>
      </c:layout>
      <c:spPr>
        <a:noFill/>
        <a:ln w="2678">
          <a:solidFill>
            <a:srgbClr val="000000"/>
          </a:solidFill>
          <a:prstDash val="solid"/>
        </a:ln>
      </c:spPr>
      <c:txPr>
        <a:bodyPr/>
        <a:lstStyle/>
        <a:p>
          <a:pPr>
            <a:defRPr sz="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333333333333441E-2"/>
          <c:y val="7.1146245059288543E-2"/>
          <c:w val="0.70000000000000062"/>
          <c:h val="0.75889328063241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положительное отношение к новому</c:v>
                </c:pt>
              </c:strCache>
            </c:strRef>
          </c:tx>
          <c:spPr>
            <a:solidFill>
              <a:srgbClr val="9999FF"/>
            </a:solidFill>
            <a:ln w="11572">
              <a:solidFill>
                <a:srgbClr val="000000"/>
              </a:solidFill>
              <a:prstDash val="solid"/>
            </a:ln>
          </c:spPr>
          <c:dLbls>
            <c:spPr>
              <a:noFill/>
              <a:ln w="231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осторожное</c:v>
                </c:pt>
              </c:strCache>
            </c:strRef>
          </c:tx>
          <c:spPr>
            <a:solidFill>
              <a:srgbClr val="993366"/>
            </a:solidFill>
            <a:ln w="11572">
              <a:solidFill>
                <a:srgbClr val="000000"/>
              </a:solidFill>
              <a:prstDash val="solid"/>
            </a:ln>
          </c:spPr>
          <c:dLbls>
            <c:spPr>
              <a:noFill/>
              <a:ln w="231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боязливое</c:v>
                </c:pt>
              </c:strCache>
            </c:strRef>
          </c:tx>
          <c:spPr>
            <a:solidFill>
              <a:srgbClr val="FFFFCC"/>
            </a:solidFill>
            <a:ln w="11572">
              <a:solidFill>
                <a:srgbClr val="000000"/>
              </a:solidFill>
              <a:prstDash val="solid"/>
            </a:ln>
          </c:spPr>
          <c:dLbls>
            <c:spPr>
              <a:noFill/>
              <a:ln w="231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</c:numCache>
            </c:numRef>
          </c:val>
        </c:ser>
        <c:gapDepth val="0"/>
        <c:shape val="box"/>
        <c:axId val="82196352"/>
        <c:axId val="82197888"/>
        <c:axId val="0"/>
      </c:bar3DChart>
      <c:catAx>
        <c:axId val="82196352"/>
        <c:scaling>
          <c:orientation val="minMax"/>
        </c:scaling>
        <c:axPos val="b"/>
        <c:numFmt formatCode="General" sourceLinked="1"/>
        <c:tickLblPos val="low"/>
        <c:spPr>
          <a:ln w="2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97888"/>
        <c:crosses val="autoZero"/>
        <c:auto val="1"/>
        <c:lblAlgn val="ctr"/>
        <c:lblOffset val="100"/>
        <c:tickLblSkip val="1"/>
        <c:tickMarkSkip val="1"/>
      </c:catAx>
      <c:valAx>
        <c:axId val="82197888"/>
        <c:scaling>
          <c:orientation val="minMax"/>
        </c:scaling>
        <c:axPos val="l"/>
        <c:majorGridlines>
          <c:spPr>
            <a:ln w="28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96352"/>
        <c:crosses val="autoZero"/>
        <c:crossBetween val="between"/>
      </c:valAx>
      <c:spPr>
        <a:noFill/>
        <a:ln w="2314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462347881141104"/>
          <c:y val="0.25691608440660596"/>
          <c:w val="0.18204286856821578"/>
          <c:h val="0.42779723712391865"/>
        </c:manualLayout>
      </c:layout>
      <c:spPr>
        <a:noFill/>
        <a:ln w="289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744525547445341E-2"/>
          <c:y val="6.9230769230769235E-2"/>
          <c:w val="0.76459854014598561"/>
          <c:h val="0.69615384615384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0984">
              <a:solidFill>
                <a:srgbClr val="000000"/>
              </a:solidFill>
              <a:prstDash val="solid"/>
            </a:ln>
          </c:spPr>
          <c:dLbls>
            <c:spPr>
              <a:noFill/>
              <a:ln w="21969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45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0984">
              <a:solidFill>
                <a:srgbClr val="000000"/>
              </a:solidFill>
              <a:prstDash val="solid"/>
            </a:ln>
          </c:spPr>
          <c:dLbls>
            <c:spPr>
              <a:noFill/>
              <a:ln w="21969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55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0984">
              <a:solidFill>
                <a:srgbClr val="000000"/>
              </a:solidFill>
              <a:prstDash val="solid"/>
            </a:ln>
          </c:spPr>
          <c:dLbls>
            <c:spPr>
              <a:noFill/>
              <a:ln w="21969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  <c:pt idx="1">
                  <c:v>55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gapDepth val="0"/>
        <c:shape val="box"/>
        <c:axId val="83045376"/>
        <c:axId val="83059456"/>
        <c:axId val="0"/>
      </c:bar3DChart>
      <c:catAx>
        <c:axId val="83045376"/>
        <c:scaling>
          <c:orientation val="minMax"/>
        </c:scaling>
        <c:axPos val="b"/>
        <c:numFmt formatCode="General" sourceLinked="1"/>
        <c:tickLblPos val="low"/>
        <c:spPr>
          <a:ln w="27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59456"/>
        <c:crosses val="autoZero"/>
        <c:auto val="1"/>
        <c:lblAlgn val="ctr"/>
        <c:lblOffset val="100"/>
        <c:tickLblSkip val="1"/>
        <c:tickMarkSkip val="1"/>
      </c:catAx>
      <c:valAx>
        <c:axId val="83059456"/>
        <c:scaling>
          <c:orientation val="minMax"/>
        </c:scaling>
        <c:axPos val="l"/>
        <c:majorGridlines>
          <c:spPr>
            <a:ln w="27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45376"/>
        <c:crosses val="autoZero"/>
        <c:crossBetween val="between"/>
      </c:valAx>
      <c:spPr>
        <a:noFill/>
        <a:ln w="21969">
          <a:noFill/>
        </a:ln>
      </c:spPr>
    </c:plotArea>
    <c:legend>
      <c:legendPos val="r"/>
      <c:layout>
        <c:manualLayout>
          <c:xMode val="edge"/>
          <c:yMode val="edge"/>
          <c:x val="0.74705867355626554"/>
          <c:y val="0.21027951189838784"/>
          <c:w val="0.15328458354709204"/>
          <c:h val="0.40373355172644376"/>
        </c:manualLayout>
      </c:layout>
      <c:spPr>
        <a:noFill/>
        <a:ln w="2746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2014-10-25T11:46:00Z</dcterms:created>
  <dcterms:modified xsi:type="dcterms:W3CDTF">2014-11-10T06:39:00Z</dcterms:modified>
</cp:coreProperties>
</file>