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9" w:rsidRDefault="00221B8C">
      <w:r>
        <w:t xml:space="preserve">Рейтинг  </w:t>
      </w:r>
    </w:p>
    <w:p w:rsidR="00221B8C" w:rsidRDefault="00221B8C"/>
    <w:p w:rsidR="00221B8C" w:rsidRDefault="00221B8C">
      <w:r w:rsidRPr="00221B8C">
        <w:drawing>
          <wp:inline distT="0" distB="0" distL="0" distR="0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1B8C" w:rsidRDefault="00221B8C">
      <w:r>
        <w:t xml:space="preserve">Мониторинг качества образования в группе ОРН 4 года жизни </w:t>
      </w:r>
    </w:p>
    <w:p w:rsidR="00221B8C" w:rsidRDefault="00221B8C"/>
    <w:tbl>
      <w:tblPr>
        <w:tblStyle w:val="a5"/>
        <w:tblW w:w="0" w:type="auto"/>
        <w:tblInd w:w="567" w:type="dxa"/>
        <w:tblLook w:val="04A0"/>
      </w:tblPr>
      <w:tblGrid>
        <w:gridCol w:w="4502"/>
        <w:gridCol w:w="4502"/>
      </w:tblGrid>
      <w:tr w:rsidR="00221B8C" w:rsidTr="00221B8C">
        <w:trPr>
          <w:trHeight w:val="701"/>
        </w:trPr>
        <w:tc>
          <w:tcPr>
            <w:tcW w:w="4502" w:type="dxa"/>
          </w:tcPr>
          <w:p w:rsidR="00221B8C" w:rsidRDefault="00221B8C">
            <w:pPr>
              <w:ind w:left="0"/>
            </w:pPr>
            <w:r>
              <w:t>Индекс здоровья</w:t>
            </w:r>
          </w:p>
        </w:tc>
        <w:tc>
          <w:tcPr>
            <w:tcW w:w="4502" w:type="dxa"/>
          </w:tcPr>
          <w:p w:rsidR="00221B8C" w:rsidRDefault="00221B8C">
            <w:pPr>
              <w:ind w:left="0"/>
            </w:pPr>
            <w:r>
              <w:t>31%</w:t>
            </w:r>
          </w:p>
        </w:tc>
      </w:tr>
      <w:tr w:rsidR="00221B8C" w:rsidTr="00221B8C">
        <w:tc>
          <w:tcPr>
            <w:tcW w:w="4502" w:type="dxa"/>
          </w:tcPr>
          <w:p w:rsidR="00221B8C" w:rsidRDefault="00221B8C">
            <w:pPr>
              <w:ind w:left="0"/>
            </w:pPr>
            <w:r>
              <w:t>Наличие травматизма</w:t>
            </w:r>
          </w:p>
        </w:tc>
        <w:tc>
          <w:tcPr>
            <w:tcW w:w="4502" w:type="dxa"/>
          </w:tcPr>
          <w:p w:rsidR="00221B8C" w:rsidRDefault="00221B8C">
            <w:pPr>
              <w:ind w:left="0"/>
            </w:pPr>
            <w:r>
              <w:t>0%</w:t>
            </w:r>
          </w:p>
        </w:tc>
      </w:tr>
      <w:tr w:rsidR="00221B8C" w:rsidTr="00221B8C">
        <w:tc>
          <w:tcPr>
            <w:tcW w:w="4502" w:type="dxa"/>
          </w:tcPr>
          <w:p w:rsidR="00221B8C" w:rsidRDefault="00221B8C">
            <w:pPr>
              <w:ind w:left="0"/>
            </w:pPr>
            <w:r>
              <w:t>Посещаемость</w:t>
            </w:r>
          </w:p>
        </w:tc>
        <w:tc>
          <w:tcPr>
            <w:tcW w:w="4502" w:type="dxa"/>
          </w:tcPr>
          <w:p w:rsidR="00221B8C" w:rsidRDefault="00221B8C">
            <w:pPr>
              <w:ind w:left="0"/>
            </w:pPr>
            <w:r>
              <w:t>84%</w:t>
            </w:r>
          </w:p>
        </w:tc>
      </w:tr>
      <w:tr w:rsidR="00221B8C" w:rsidTr="00221B8C">
        <w:tc>
          <w:tcPr>
            <w:tcW w:w="4502" w:type="dxa"/>
          </w:tcPr>
          <w:p w:rsidR="00221B8C" w:rsidRDefault="00221B8C" w:rsidP="00221B8C">
            <w:pPr>
              <w:ind w:left="0"/>
            </w:pPr>
            <w:r>
              <w:t>Уровень удовлетворенности родителей образовательными услугами</w:t>
            </w:r>
          </w:p>
        </w:tc>
        <w:tc>
          <w:tcPr>
            <w:tcW w:w="4502" w:type="dxa"/>
          </w:tcPr>
          <w:p w:rsidR="00221B8C" w:rsidRDefault="00221B8C">
            <w:pPr>
              <w:ind w:left="0"/>
            </w:pPr>
            <w:r>
              <w:t>100%</w:t>
            </w:r>
          </w:p>
        </w:tc>
      </w:tr>
      <w:tr w:rsidR="00221B8C" w:rsidTr="00221B8C">
        <w:tc>
          <w:tcPr>
            <w:tcW w:w="4502" w:type="dxa"/>
          </w:tcPr>
          <w:p w:rsidR="00221B8C" w:rsidRDefault="00221B8C">
            <w:pPr>
              <w:ind w:left="0"/>
            </w:pPr>
            <w:r>
              <w:t>Охват воспитанников дополнительным образованием</w:t>
            </w:r>
          </w:p>
        </w:tc>
        <w:tc>
          <w:tcPr>
            <w:tcW w:w="4502" w:type="dxa"/>
          </w:tcPr>
          <w:p w:rsidR="00221B8C" w:rsidRDefault="00221B8C">
            <w:pPr>
              <w:ind w:left="0"/>
            </w:pPr>
            <w:r>
              <w:t>100%</w:t>
            </w:r>
          </w:p>
        </w:tc>
      </w:tr>
    </w:tbl>
    <w:p w:rsidR="00221B8C" w:rsidRDefault="00221B8C"/>
    <w:p w:rsidR="00221B8C" w:rsidRDefault="00221B8C"/>
    <w:p w:rsidR="00221B8C" w:rsidRDefault="00221B8C"/>
    <w:p w:rsidR="00221B8C" w:rsidRDefault="00221B8C"/>
    <w:sectPr w:rsidR="00221B8C" w:rsidSect="00221B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8C"/>
    <w:rsid w:val="00221B8C"/>
    <w:rsid w:val="00B506CB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B"/>
    <w:pPr>
      <w:spacing w:line="240" w:lineRule="auto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мониторинга достижений воспитанников освоения Программы за 2008-2010 учебные годы</a:t>
            </a:r>
            <a:endParaRPr lang="ru-RU" sz="1600" b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Нач2008-2009</c:v>
                </c:pt>
                <c:pt idx="1">
                  <c:v>Кон. 2008-2009</c:v>
                </c:pt>
                <c:pt idx="2">
                  <c:v>Нач.2009-2010</c:v>
                </c:pt>
                <c:pt idx="3">
                  <c:v>Кон. 2009-2010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94</c:v>
                </c:pt>
                <c:pt idx="2">
                  <c:v>60</c:v>
                </c:pt>
                <c:pt idx="3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Нач2008-2009</c:v>
                </c:pt>
                <c:pt idx="1">
                  <c:v>Кон. 2008-2009</c:v>
                </c:pt>
                <c:pt idx="2">
                  <c:v>Нач.2009-2010</c:v>
                </c:pt>
                <c:pt idx="3">
                  <c:v>Кон. 2009-2010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Нач2008-2009</c:v>
                </c:pt>
                <c:pt idx="1">
                  <c:v>Кон. 2008-2009</c:v>
                </c:pt>
                <c:pt idx="2">
                  <c:v>Нач.2009-2010</c:v>
                </c:pt>
                <c:pt idx="3">
                  <c:v>Кон. 2009-2010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5150720"/>
        <c:axId val="85156608"/>
      </c:barChart>
      <c:catAx>
        <c:axId val="8515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56608"/>
        <c:crosses val="autoZero"/>
        <c:auto val="1"/>
        <c:lblAlgn val="ctr"/>
        <c:lblOffset val="100"/>
      </c:catAx>
      <c:valAx>
        <c:axId val="85156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5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1</cp:revision>
  <dcterms:created xsi:type="dcterms:W3CDTF">2015-03-11T15:43:00Z</dcterms:created>
  <dcterms:modified xsi:type="dcterms:W3CDTF">2015-03-11T15:49:00Z</dcterms:modified>
</cp:coreProperties>
</file>