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AE" w:rsidRPr="00657F96" w:rsidRDefault="009610AE" w:rsidP="009610AE">
      <w:pPr>
        <w:ind w:left="-284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 (кружковая работа)</w:t>
      </w:r>
    </w:p>
    <w:p w:rsidR="009610AE" w:rsidRPr="007B1E5C" w:rsidRDefault="009610AE" w:rsidP="009610AE">
      <w:pPr>
        <w:ind w:left="-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«Цветик-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Направление: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художественно-творческих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изобразительную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шести-семи лет</w:t>
      </w:r>
    </w:p>
    <w:p w:rsidR="009610AE" w:rsidRPr="007B1E5C" w:rsidRDefault="009610AE" w:rsidP="009610AE">
      <w:pPr>
        <w:tabs>
          <w:tab w:val="left" w:pos="28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программа:</w:t>
      </w:r>
    </w:p>
    <w:p w:rsidR="009610AE" w:rsidRDefault="009610AE" w:rsidP="009610AE">
      <w:pPr>
        <w:tabs>
          <w:tab w:val="left" w:pos="28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ладошки» И.А. Лыкова</w:t>
      </w:r>
    </w:p>
    <w:p w:rsidR="009610AE" w:rsidRDefault="009610AE" w:rsidP="009610AE">
      <w:pPr>
        <w:tabs>
          <w:tab w:val="left" w:pos="28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Calibri" w:eastAsia="Times New Roman" w:hAnsi="Calibri" w:cs="Calibri"/>
          <w:b/>
          <w:sz w:val="32"/>
          <w:szCs w:val="32"/>
          <w:lang w:eastAsia="ru-RU"/>
        </w:rPr>
        <w:t>Цели и задачи кружка</w:t>
      </w:r>
    </w:p>
    <w:p w:rsidR="009610AE" w:rsidRPr="007B1E5C" w:rsidRDefault="009610AE" w:rsidP="009610AE">
      <w:pPr>
        <w:tabs>
          <w:tab w:val="left" w:pos="28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 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и последовательное воспитание у детей эстетической и бытовой культуры</w:t>
      </w:r>
      <w:proofErr w:type="gram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росту и формирование эстетического отношения  к окружающему миру средствами практической целесообразной деятельности, используя нетрадиционные техники рисования и прикладное искусство.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художественное мышление и нравственные черты личности через различные способы рисования.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 – эстетические: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восприятие жизни;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представления об окружающем мире;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в процессе изображения предметов, явлений и состояний окружающего мира, в выборе изобразительных материалов.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приобретение изобразительного мастерства: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форму, строение предмета и его частей; цвет предмета, используя краски спектральных, тёплых, холодных, контрастных цветов, разных оттенков и разной тональности; разные пропорции предметов;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композиционные умения при изображении групп предметов или сюжета.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формирование технических навыков: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кисть руки, закрепляя правильное положение при рисовании горизонтальных и вертикальных линий (широких и тонких);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полученные ранее умения выполнять работу в техниках: </w:t>
      </w:r>
      <w:proofErr w:type="gram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монотипия, 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пальцеграфия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технике рисования «по </w:t>
      </w:r>
      <w:proofErr w:type="gram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гратаж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тиснения, оттиски разными материалами;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освоить технику рисования разнообразными изобразительными материалами: гуашь, акварель, пастель, восковые  и школьные мелки, простой карандаш, цветные карандаши, фломастеры.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развитие эмоциональной отзывчивости к </w:t>
      </w:r>
      <w:proofErr w:type="gramStart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умение наслаждаться красотой окружающей природы, любоваться предметами быта, народных промыслов;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5C">
        <w:rPr>
          <w:rFonts w:ascii="Cambria" w:eastAsia="Times New Roman" w:hAnsi="Cambria" w:cs="Arial"/>
          <w:b/>
          <w:bCs/>
          <w:sz w:val="28"/>
          <w:szCs w:val="28"/>
          <w:lang w:eastAsia="ru-RU"/>
        </w:rPr>
        <w:t>Ожидаемый результат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художественного опыта.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предпосылок учебной деятельности (самоконтроль, самооценка,          обобщенные способы действия) и умения взаимодействовать друг с другом.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операциями (резать, сминать, надрезать, плести и т.п.).</w:t>
      </w: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навыки трудовой деятельности.</w:t>
      </w:r>
    </w:p>
    <w:p w:rsidR="009610AE" w:rsidRPr="007B1E5C" w:rsidRDefault="009610AE" w:rsidP="009610A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для организации кружка</w:t>
      </w:r>
    </w:p>
    <w:p w:rsidR="009610AE" w:rsidRDefault="009610AE" w:rsidP="009610AE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необходимой материальной базы в обучающей, развивающей и воспитывающей среде для самореализации творческого потенциала. </w:t>
      </w:r>
      <w:r w:rsidRPr="003C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Создание ситуации успеха и положительного принятия результата, а затем и его практического применения.</w:t>
      </w:r>
      <w:r w:rsidRPr="003C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10AE" w:rsidRPr="003C2FE2" w:rsidRDefault="009610AE" w:rsidP="009610AE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E2">
        <w:rPr>
          <w:rFonts w:ascii="Cambria" w:eastAsia="Times New Roman" w:hAnsi="Cambria" w:cs="Arial"/>
          <w:b/>
          <w:sz w:val="28"/>
          <w:szCs w:val="28"/>
          <w:lang w:eastAsia="ru-RU"/>
        </w:rPr>
        <w:t>Материалы и инструменты, необходимые для работы:</w:t>
      </w:r>
    </w:p>
    <w:p w:rsidR="009610AE" w:rsidRPr="007B1E5C" w:rsidRDefault="009610AE" w:rsidP="009610AE">
      <w:pPr>
        <w:spacing w:beforeAutospacing="1" w:after="100" w:afterAutospacing="1" w:line="240" w:lineRule="auto"/>
        <w:contextualSpacing/>
        <w:rPr>
          <w:rFonts w:ascii="Cambria" w:eastAsia="Times New Roman" w:hAnsi="Cambria" w:cs="Arial"/>
          <w:sz w:val="28"/>
          <w:szCs w:val="28"/>
          <w:lang w:eastAsia="ru-RU"/>
        </w:rPr>
        <w:sectPr w:rsidR="009610AE" w:rsidRPr="007B1E5C" w:rsidSect="007B1E5C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9610AE" w:rsidRDefault="009610AE" w:rsidP="009610A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>1.Бумага разного формата и цвета.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Акварельные краски.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Тушь разноцветная.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Пастель, сангина, уголь.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Гуашь.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Восковые мелки.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Трубочки для коктейля.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Ванночки с поролоном.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Баночки для воды.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Кисти круглые и плоские разного размера.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Салфетки. 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восковые свечи. </w:t>
      </w:r>
      <w:r w:rsidRPr="007B1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кружка - среда 16.00</w:t>
      </w:r>
    </w:p>
    <w:p w:rsidR="009610AE" w:rsidRDefault="009610AE" w:rsidP="009610A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Pr="00EE1FD3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Перспективное планирование кружка</w:t>
      </w:r>
    </w:p>
    <w:p w:rsidR="009610AE" w:rsidRPr="00EE1FD3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«Цветик-</w:t>
      </w:r>
      <w:proofErr w:type="spellStart"/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Pr="00EE1FD3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E1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</w:t>
      </w:r>
    </w:p>
    <w:p w:rsidR="009610AE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AE" w:rsidRPr="00EE1FD3" w:rsidRDefault="009610AE" w:rsidP="009610A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74"/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37"/>
        <w:gridCol w:w="2222"/>
        <w:gridCol w:w="6300"/>
      </w:tblGrid>
      <w:tr w:rsidR="009610AE" w:rsidRPr="007B1E5C" w:rsidTr="00A94F34">
        <w:trPr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Осенние пейзажи (</w:t>
            </w:r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.Пестрые кошки (</w:t>
            </w:r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.Фруктовая мозаика (</w:t>
            </w:r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восковые мелки, акварель</w:t>
            </w: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Парусник (аппликация из ткани)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Учить работать с шаблонами, учить вырезывать из ткани детали по шаблону, учить приклеивать ткань на заготовку. Воспитывать аккуратность в работе с клеем и ножницами.</w:t>
            </w:r>
          </w:p>
        </w:tc>
      </w:tr>
      <w:tr w:rsidR="009610AE" w:rsidRPr="007B1E5C" w:rsidTr="00A94F34">
        <w:trPr>
          <w:trHeight w:val="705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Зимние узоры (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Познакомить с нетрадиционной изобразительной техникой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черно-белого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 Упражнять в использовании таких средств выразительности, как линия, штрих.</w:t>
            </w:r>
          </w:p>
        </w:tc>
      </w:tr>
      <w:tr w:rsidR="009610AE" w:rsidRPr="007B1E5C" w:rsidTr="00A94F34">
        <w:trPr>
          <w:trHeight w:val="1275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Глиняный горшок (лепка)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Познакомить с работой гончара, учить делать изделия из глины, развивать аккуратность в работе, воспитывать уважение к чужому труду.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Пано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для дома (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квилинг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и рулончики от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туал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 бумаги)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техникой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вилинг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9610AE" w:rsidRPr="007B1E5C" w:rsidTr="00A94F34">
        <w:trPr>
          <w:trHeight w:val="32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Старинная картина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Учить детей новой технике – эффект потрескавшегося воска. Учить заполнять рисунком весь лист. Совершенствовать технические навыки при работе в нетрадиционной технике.</w:t>
            </w:r>
          </w:p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Доска для дома (техника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новой техникой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екупаж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 Учить вырезывать из салфеток цветы. Учить при помощи акрилового лака закреплять изображение на доске.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libri" w:eastAsia="Times New Roman" w:hAnsi="Calibri" w:cs="Times New Roman"/>
              </w:rPr>
              <w:t xml:space="preserve"> </w:t>
            </w: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Кружевные узоры (техника работы с тканью)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Учить совмещать техники работы с бумагой и тканью. Учить составлять портрет человека. Учить составлять одежду из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вырезанных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ранее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кружевов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Портрет мамы 1 часть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жанром портрета. Закреплять умение изображать лицо человека, пользуясь различными приёмами рисования.</w:t>
            </w:r>
          </w:p>
        </w:tc>
      </w:tr>
      <w:tr w:rsidR="009610AE" w:rsidRPr="007B1E5C" w:rsidTr="00A94F34">
        <w:trPr>
          <w:trHeight w:val="96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Птицы волшебного сада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</w:tr>
      <w:tr w:rsidR="009610AE" w:rsidRPr="007B1E5C" w:rsidTr="00A94F34">
        <w:trPr>
          <w:trHeight w:val="930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ind w:right="-101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Космические дали (</w:t>
            </w:r>
            <w:proofErr w:type="spellStart"/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печать поролоном по трафарету</w:t>
            </w: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и печать по трафарету. Развивать </w:t>
            </w:r>
            <w:proofErr w:type="spell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Упражнять в рисовании с помощью данных техник.</w:t>
            </w:r>
          </w:p>
        </w:tc>
      </w:tr>
      <w:tr w:rsidR="009610AE" w:rsidRPr="007B1E5C" w:rsidTr="00A94F34">
        <w:trPr>
          <w:trHeight w:val="915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Вишня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цвету (</w:t>
            </w:r>
            <w:proofErr w:type="spellStart"/>
            <w:r w:rsidRPr="007B1E5C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продумывать расположение рисунка на листе. Совершенствовать умение использовать способ рисования </w:t>
            </w:r>
            <w:proofErr w:type="gramStart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для повышения выразительности рисунка.</w:t>
            </w:r>
          </w:p>
        </w:tc>
      </w:tr>
      <w:tr w:rsidR="009610AE" w:rsidRPr="007B1E5C" w:rsidTr="00A94F34">
        <w:trPr>
          <w:trHeight w:val="915"/>
          <w:tblCellSpacing w:w="0" w:type="dxa"/>
        </w:trPr>
        <w:tc>
          <w:tcPr>
            <w:tcW w:w="12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610AE" w:rsidRPr="007B1E5C" w:rsidRDefault="009610AE" w:rsidP="00A94F34">
            <w:pPr>
              <w:spacing w:before="100" w:beforeAutospacing="1" w:after="115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Выявить технические умения и творческие способности</w:t>
            </w:r>
            <w:r w:rsidRPr="007B1E5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610AE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AE" w:rsidRPr="00EE1FD3" w:rsidRDefault="009610AE" w:rsidP="009610AE">
      <w:r w:rsidRPr="00EE1FD3">
        <w:rPr>
          <w:b/>
          <w:sz w:val="28"/>
          <w:szCs w:val="28"/>
        </w:rPr>
        <w:t>Критерии к диагностической карте</w:t>
      </w:r>
      <w:r>
        <w:rPr>
          <w:b/>
          <w:sz w:val="28"/>
          <w:szCs w:val="28"/>
        </w:rPr>
        <w:t>.</w:t>
      </w:r>
    </w:p>
    <w:p w:rsidR="009610AE" w:rsidRPr="00EE1FD3" w:rsidRDefault="009610AE" w:rsidP="009610AE">
      <w:pPr>
        <w:ind w:left="-284" w:right="142"/>
        <w:rPr>
          <w:sz w:val="28"/>
          <w:szCs w:val="28"/>
        </w:rPr>
      </w:pPr>
      <w:r w:rsidRPr="00EE1FD3">
        <w:rPr>
          <w:b/>
          <w:sz w:val="28"/>
          <w:szCs w:val="28"/>
        </w:rPr>
        <w:t>Высокий уровень</w:t>
      </w:r>
      <w:r w:rsidRPr="00EE1FD3">
        <w:rPr>
          <w:sz w:val="28"/>
          <w:szCs w:val="28"/>
        </w:rPr>
        <w:t xml:space="preserve">: Охотно и с увлечением рассказывает об </w:t>
      </w:r>
      <w:proofErr w:type="gramStart"/>
      <w:r w:rsidRPr="00EE1FD3">
        <w:rPr>
          <w:sz w:val="28"/>
          <w:szCs w:val="28"/>
        </w:rPr>
        <w:t>увиденном</w:t>
      </w:r>
      <w:proofErr w:type="gramEnd"/>
      <w:r w:rsidRPr="00EE1FD3">
        <w:rPr>
          <w:sz w:val="28"/>
          <w:szCs w:val="28"/>
        </w:rPr>
        <w:t>, определяет вид росписи, может рассказать об истории промысла.                                                                                                                                                     Узоры не повторяют друг друга, оригинальные, яркие. Знает назначение художественной вещи, правильно называет виды ремесел, историю их возникновения и места (Дымково, Городец, Гжель и др.).                                                                                                                                                                                          Составляя узор, использует освоенные приемы, легко справляется с рисованием и составлением узоров, используя мельчайшие детали, хорошо ориентируется в понятиях «мастер, ремесленник, промысел». Легко ориентируется в понятиях, названиях игруш</w:t>
      </w:r>
      <w:r>
        <w:rPr>
          <w:sz w:val="28"/>
          <w:szCs w:val="28"/>
        </w:rPr>
        <w:t xml:space="preserve">ек и росписей. </w:t>
      </w:r>
      <w:r w:rsidRPr="00EE1FD3">
        <w:rPr>
          <w:sz w:val="28"/>
          <w:szCs w:val="28"/>
        </w:rPr>
        <w:t xml:space="preserve">Знает названия всех цветов и оттенков, в </w:t>
      </w:r>
      <w:proofErr w:type="spellStart"/>
      <w:r w:rsidRPr="00EE1FD3">
        <w:rPr>
          <w:sz w:val="28"/>
          <w:szCs w:val="28"/>
        </w:rPr>
        <w:t>т.ч</w:t>
      </w:r>
      <w:proofErr w:type="spellEnd"/>
      <w:r w:rsidRPr="00EE1FD3">
        <w:rPr>
          <w:sz w:val="28"/>
          <w:szCs w:val="28"/>
        </w:rPr>
        <w:t>. и термины «холодные тона», «теплые тона» находятся в активном словаре, при рисовании узора стремится к гармонии и использует цвет, как средство выразительности</w:t>
      </w:r>
      <w:proofErr w:type="gramStart"/>
      <w:r>
        <w:rPr>
          <w:sz w:val="28"/>
          <w:szCs w:val="28"/>
        </w:rPr>
        <w:t xml:space="preserve"> </w:t>
      </w:r>
      <w:r w:rsidRPr="00EE1FD3">
        <w:rPr>
          <w:sz w:val="28"/>
          <w:szCs w:val="28"/>
        </w:rPr>
        <w:t>.</w:t>
      </w:r>
      <w:proofErr w:type="gramEnd"/>
      <w:r w:rsidRPr="00EE1FD3">
        <w:rPr>
          <w:sz w:val="28"/>
          <w:szCs w:val="28"/>
        </w:rPr>
        <w:t xml:space="preserve">Обдумывает составление узора с увлечением, самостоятелен, использует разнообразные изобразительные материалы для передачи выразительности и эмоциональности  росписи, узоры яркие, сочные, выделяются отдельные тонкие элементы отделки. </w:t>
      </w:r>
    </w:p>
    <w:p w:rsidR="009610AE" w:rsidRPr="00EE1FD3" w:rsidRDefault="009610AE" w:rsidP="009610AE">
      <w:pPr>
        <w:ind w:left="-284" w:right="142"/>
        <w:rPr>
          <w:sz w:val="28"/>
          <w:szCs w:val="28"/>
        </w:rPr>
      </w:pPr>
      <w:r w:rsidRPr="00EE1FD3">
        <w:rPr>
          <w:b/>
          <w:sz w:val="28"/>
          <w:szCs w:val="28"/>
        </w:rPr>
        <w:t>Средний уровень</w:t>
      </w:r>
      <w:r>
        <w:rPr>
          <w:sz w:val="28"/>
          <w:szCs w:val="28"/>
        </w:rPr>
        <w:t xml:space="preserve">: </w:t>
      </w:r>
      <w:r w:rsidRPr="00EE1FD3">
        <w:rPr>
          <w:sz w:val="28"/>
          <w:szCs w:val="28"/>
        </w:rPr>
        <w:t>Проявляет интерес к произведениям ДПИ, но интерес не уст</w:t>
      </w:r>
      <w:r>
        <w:rPr>
          <w:sz w:val="28"/>
          <w:szCs w:val="28"/>
        </w:rPr>
        <w:t xml:space="preserve">ойчивый, эмоции выражены слабо. </w:t>
      </w:r>
      <w:r w:rsidRPr="00EE1FD3">
        <w:rPr>
          <w:sz w:val="28"/>
          <w:szCs w:val="28"/>
        </w:rPr>
        <w:t xml:space="preserve">Умеет рассказать об </w:t>
      </w:r>
      <w:proofErr w:type="gramStart"/>
      <w:r w:rsidRPr="00EE1FD3">
        <w:rPr>
          <w:sz w:val="28"/>
          <w:szCs w:val="28"/>
        </w:rPr>
        <w:t>увиденном</w:t>
      </w:r>
      <w:proofErr w:type="gramEnd"/>
      <w:r w:rsidRPr="00EE1FD3">
        <w:rPr>
          <w:sz w:val="28"/>
          <w:szCs w:val="28"/>
        </w:rPr>
        <w:t>, пользуясь наводящими вопросами и помощью воспитателя, знае</w:t>
      </w:r>
      <w:r>
        <w:rPr>
          <w:sz w:val="28"/>
          <w:szCs w:val="28"/>
        </w:rPr>
        <w:t xml:space="preserve">т некоторые названия промыслов. </w:t>
      </w:r>
      <w:r w:rsidRPr="00EE1FD3">
        <w:rPr>
          <w:sz w:val="28"/>
          <w:szCs w:val="28"/>
        </w:rPr>
        <w:t xml:space="preserve">Воображение базируется на </w:t>
      </w:r>
      <w:proofErr w:type="gramStart"/>
      <w:r w:rsidRPr="00EE1FD3">
        <w:rPr>
          <w:sz w:val="28"/>
          <w:szCs w:val="28"/>
        </w:rPr>
        <w:t>увиденном</w:t>
      </w:r>
      <w:proofErr w:type="gramEnd"/>
      <w:r w:rsidRPr="00EE1FD3">
        <w:rPr>
          <w:sz w:val="28"/>
          <w:szCs w:val="28"/>
        </w:rPr>
        <w:t xml:space="preserve"> ранее, нет оригинальности в изображаемых рисунках, узоры повторяют друг друга, слабо ориентируется для чего сделана игрушка</w:t>
      </w:r>
      <w:r>
        <w:rPr>
          <w:sz w:val="28"/>
          <w:szCs w:val="28"/>
        </w:rPr>
        <w:t xml:space="preserve"> и что он мог бы с ней сделать. </w:t>
      </w:r>
      <w:r w:rsidRPr="00EE1FD3">
        <w:rPr>
          <w:sz w:val="28"/>
          <w:szCs w:val="28"/>
        </w:rPr>
        <w:t xml:space="preserve">Работает уверенно по показу, без показа или образца теряется, нарушает </w:t>
      </w:r>
      <w:r>
        <w:rPr>
          <w:sz w:val="28"/>
          <w:szCs w:val="28"/>
        </w:rPr>
        <w:t xml:space="preserve">пропорции и расположение узора. </w:t>
      </w:r>
      <w:proofErr w:type="gramStart"/>
      <w:r w:rsidRPr="00EE1FD3">
        <w:rPr>
          <w:sz w:val="28"/>
          <w:szCs w:val="28"/>
        </w:rPr>
        <w:t>Различает все цвета, называет главные «теплые» (желтый, оранжевый) и главные «холодные» (синий, фиолетовый), не пытается использовать цвет как средство выразительност</w:t>
      </w:r>
      <w:r>
        <w:rPr>
          <w:sz w:val="28"/>
          <w:szCs w:val="28"/>
        </w:rPr>
        <w:t>и, использует цвета стандартно.</w:t>
      </w:r>
      <w:proofErr w:type="gramEnd"/>
      <w:r>
        <w:rPr>
          <w:sz w:val="28"/>
          <w:szCs w:val="28"/>
        </w:rPr>
        <w:t xml:space="preserve"> </w:t>
      </w:r>
      <w:r w:rsidRPr="00EE1FD3">
        <w:rPr>
          <w:sz w:val="28"/>
          <w:szCs w:val="28"/>
        </w:rPr>
        <w:t xml:space="preserve">Содержание составленного узора слабое, незначительно </w:t>
      </w:r>
      <w:r w:rsidRPr="00EE1FD3">
        <w:rPr>
          <w:sz w:val="28"/>
          <w:szCs w:val="28"/>
        </w:rPr>
        <w:lastRenderedPageBreak/>
        <w:t>переданы эл</w:t>
      </w:r>
      <w:r>
        <w:rPr>
          <w:sz w:val="28"/>
          <w:szCs w:val="28"/>
        </w:rPr>
        <w:t xml:space="preserve">ементы узора и эмоциональность. </w:t>
      </w:r>
      <w:r w:rsidRPr="00EE1FD3">
        <w:rPr>
          <w:sz w:val="28"/>
          <w:szCs w:val="28"/>
        </w:rPr>
        <w:t>Линия уверенная, нажим ослаблен.</w:t>
      </w:r>
    </w:p>
    <w:p w:rsidR="009610AE" w:rsidRPr="00EE1FD3" w:rsidRDefault="009610AE" w:rsidP="009610AE">
      <w:pPr>
        <w:ind w:left="-284" w:right="142"/>
        <w:rPr>
          <w:sz w:val="28"/>
          <w:szCs w:val="28"/>
        </w:rPr>
      </w:pPr>
      <w:r w:rsidRPr="00EE1FD3">
        <w:rPr>
          <w:b/>
          <w:sz w:val="28"/>
          <w:szCs w:val="28"/>
        </w:rPr>
        <w:t>Низкий уровень</w:t>
      </w:r>
      <w:r>
        <w:rPr>
          <w:sz w:val="28"/>
          <w:szCs w:val="28"/>
        </w:rPr>
        <w:t xml:space="preserve">: </w:t>
      </w:r>
      <w:r w:rsidRPr="00EE1FD3">
        <w:rPr>
          <w:sz w:val="28"/>
          <w:szCs w:val="28"/>
        </w:rPr>
        <w:t>Проявляет интерес к произведениям ДПИ, но рассматри</w:t>
      </w:r>
      <w:r>
        <w:rPr>
          <w:sz w:val="28"/>
          <w:szCs w:val="28"/>
        </w:rPr>
        <w:t xml:space="preserve">вает бегло, эмоции не выражены. </w:t>
      </w:r>
      <w:r w:rsidRPr="00EE1FD3">
        <w:rPr>
          <w:sz w:val="28"/>
          <w:szCs w:val="28"/>
        </w:rPr>
        <w:t xml:space="preserve">Может высказать свое отношение к </w:t>
      </w:r>
      <w:proofErr w:type="gramStart"/>
      <w:r w:rsidRPr="00EE1FD3">
        <w:rPr>
          <w:sz w:val="28"/>
          <w:szCs w:val="28"/>
        </w:rPr>
        <w:t>увиденному</w:t>
      </w:r>
      <w:proofErr w:type="gramEnd"/>
      <w:r w:rsidRPr="00EE1FD3">
        <w:rPr>
          <w:sz w:val="28"/>
          <w:szCs w:val="28"/>
        </w:rPr>
        <w:t>, но рассказ немногослов</w:t>
      </w:r>
      <w:r>
        <w:rPr>
          <w:sz w:val="28"/>
          <w:szCs w:val="28"/>
        </w:rPr>
        <w:t xml:space="preserve">ен, не различает виды росписей. </w:t>
      </w:r>
      <w:r w:rsidRPr="00EE1FD3">
        <w:rPr>
          <w:sz w:val="28"/>
          <w:szCs w:val="28"/>
        </w:rPr>
        <w:t>Воображение развито слабо, росписи примитивны, повторяющиеся, не может правильно назв</w:t>
      </w:r>
      <w:r>
        <w:rPr>
          <w:sz w:val="28"/>
          <w:szCs w:val="28"/>
        </w:rPr>
        <w:t xml:space="preserve">ать предмет, стоящий перед ним. </w:t>
      </w:r>
      <w:r w:rsidRPr="00EE1FD3">
        <w:rPr>
          <w:sz w:val="28"/>
          <w:szCs w:val="28"/>
        </w:rPr>
        <w:t>Задание выполняет неуверенно, прибегает к помощи взрослого при составлении узора, нарушает пропорции и симметрию рисунка.</w:t>
      </w:r>
      <w:r>
        <w:rPr>
          <w:sz w:val="28"/>
          <w:szCs w:val="28"/>
        </w:rPr>
        <w:t xml:space="preserve"> </w:t>
      </w:r>
      <w:r w:rsidRPr="00EE1FD3">
        <w:rPr>
          <w:sz w:val="28"/>
          <w:szCs w:val="28"/>
        </w:rPr>
        <w:t>Различает все цвета, но не выделяет оттенки, не использует термины «холодные тона, теплые тона». Закр</w:t>
      </w:r>
      <w:r>
        <w:rPr>
          <w:sz w:val="28"/>
          <w:szCs w:val="28"/>
        </w:rPr>
        <w:t xml:space="preserve">ашивает изображение стандартно. </w:t>
      </w:r>
      <w:r w:rsidRPr="00EE1FD3">
        <w:rPr>
          <w:sz w:val="28"/>
          <w:szCs w:val="28"/>
        </w:rPr>
        <w:t>Содержание выбирает сам, но узор примитивен, эмоци</w:t>
      </w:r>
      <w:r>
        <w:rPr>
          <w:sz w:val="28"/>
          <w:szCs w:val="28"/>
        </w:rPr>
        <w:t xml:space="preserve">ональное отношение не выражено. </w:t>
      </w:r>
      <w:r w:rsidRPr="00EE1FD3">
        <w:rPr>
          <w:sz w:val="28"/>
          <w:szCs w:val="28"/>
        </w:rPr>
        <w:t>Линия напряжена, с сильным нажимом.</w:t>
      </w:r>
    </w:p>
    <w:p w:rsidR="009610AE" w:rsidRPr="00EE1FD3" w:rsidRDefault="009610AE" w:rsidP="009610AE">
      <w:pPr>
        <w:ind w:left="-284" w:right="142"/>
        <w:rPr>
          <w:sz w:val="28"/>
          <w:szCs w:val="28"/>
        </w:rPr>
      </w:pPr>
    </w:p>
    <w:p w:rsidR="009610AE" w:rsidRPr="00357B4F" w:rsidRDefault="009610AE" w:rsidP="009610AE">
      <w:pPr>
        <w:ind w:left="-284" w:right="142"/>
      </w:pPr>
    </w:p>
    <w:p w:rsidR="009610AE" w:rsidRPr="007B1E5C" w:rsidRDefault="009610AE" w:rsidP="0096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10AE" w:rsidRPr="007B1E5C" w:rsidSect="00A71FB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170" w:rsidRPr="00357B4F" w:rsidRDefault="007B1170" w:rsidP="00657F96">
      <w:pPr>
        <w:ind w:left="-284" w:right="142"/>
      </w:pPr>
    </w:p>
    <w:sectPr w:rsidR="007B1170" w:rsidRPr="00357B4F" w:rsidSect="004565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A0" w:rsidRDefault="002504A0" w:rsidP="009610AE">
      <w:pPr>
        <w:spacing w:after="0" w:line="240" w:lineRule="auto"/>
      </w:pPr>
      <w:r>
        <w:separator/>
      </w:r>
    </w:p>
  </w:endnote>
  <w:endnote w:type="continuationSeparator" w:id="0">
    <w:p w:rsidR="002504A0" w:rsidRDefault="002504A0" w:rsidP="0096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A0" w:rsidRDefault="002504A0" w:rsidP="009610AE">
      <w:pPr>
        <w:spacing w:after="0" w:line="240" w:lineRule="auto"/>
      </w:pPr>
      <w:r>
        <w:separator/>
      </w:r>
    </w:p>
  </w:footnote>
  <w:footnote w:type="continuationSeparator" w:id="0">
    <w:p w:rsidR="002504A0" w:rsidRDefault="002504A0" w:rsidP="0096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001"/>
    <w:multiLevelType w:val="multilevel"/>
    <w:tmpl w:val="C2F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A4253"/>
    <w:multiLevelType w:val="multilevel"/>
    <w:tmpl w:val="5D7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C6715"/>
    <w:multiLevelType w:val="multilevel"/>
    <w:tmpl w:val="B7D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40950"/>
    <w:multiLevelType w:val="hybridMultilevel"/>
    <w:tmpl w:val="D2A6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70987"/>
    <w:multiLevelType w:val="multilevel"/>
    <w:tmpl w:val="504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52484"/>
    <w:multiLevelType w:val="hybridMultilevel"/>
    <w:tmpl w:val="4B76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560A"/>
    <w:multiLevelType w:val="multilevel"/>
    <w:tmpl w:val="F30A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D1723"/>
    <w:multiLevelType w:val="multilevel"/>
    <w:tmpl w:val="A65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0575C"/>
    <w:multiLevelType w:val="multilevel"/>
    <w:tmpl w:val="3D2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D6037"/>
    <w:multiLevelType w:val="multilevel"/>
    <w:tmpl w:val="E37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21B11"/>
    <w:multiLevelType w:val="multilevel"/>
    <w:tmpl w:val="3C1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C5990"/>
    <w:multiLevelType w:val="multilevel"/>
    <w:tmpl w:val="85744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815A3"/>
    <w:multiLevelType w:val="multilevel"/>
    <w:tmpl w:val="6AF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C2DC4"/>
    <w:multiLevelType w:val="multilevel"/>
    <w:tmpl w:val="E30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85338"/>
    <w:multiLevelType w:val="multilevel"/>
    <w:tmpl w:val="969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F3025"/>
    <w:multiLevelType w:val="multilevel"/>
    <w:tmpl w:val="585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56B7E"/>
    <w:multiLevelType w:val="multilevel"/>
    <w:tmpl w:val="039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F38BE"/>
    <w:multiLevelType w:val="multilevel"/>
    <w:tmpl w:val="FEF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12696"/>
    <w:multiLevelType w:val="multilevel"/>
    <w:tmpl w:val="08C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43A92"/>
    <w:multiLevelType w:val="multilevel"/>
    <w:tmpl w:val="611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075EB"/>
    <w:multiLevelType w:val="multilevel"/>
    <w:tmpl w:val="0A3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75CF5"/>
    <w:multiLevelType w:val="multilevel"/>
    <w:tmpl w:val="FFDE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F7DC8"/>
    <w:multiLevelType w:val="multilevel"/>
    <w:tmpl w:val="831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D5A7B"/>
    <w:multiLevelType w:val="multilevel"/>
    <w:tmpl w:val="E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31326"/>
    <w:multiLevelType w:val="multilevel"/>
    <w:tmpl w:val="B6F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D3EAE"/>
    <w:multiLevelType w:val="multilevel"/>
    <w:tmpl w:val="CB4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25"/>
  </w:num>
  <w:num w:numId="6">
    <w:abstractNumId w:val="2"/>
  </w:num>
  <w:num w:numId="7">
    <w:abstractNumId w:val="13"/>
  </w:num>
  <w:num w:numId="8">
    <w:abstractNumId w:val="15"/>
  </w:num>
  <w:num w:numId="9">
    <w:abstractNumId w:val="18"/>
  </w:num>
  <w:num w:numId="10">
    <w:abstractNumId w:val="21"/>
  </w:num>
  <w:num w:numId="11">
    <w:abstractNumId w:val="8"/>
  </w:num>
  <w:num w:numId="12">
    <w:abstractNumId w:val="4"/>
  </w:num>
  <w:num w:numId="13">
    <w:abstractNumId w:val="19"/>
  </w:num>
  <w:num w:numId="14">
    <w:abstractNumId w:val="22"/>
  </w:num>
  <w:num w:numId="15">
    <w:abstractNumId w:val="1"/>
  </w:num>
  <w:num w:numId="16">
    <w:abstractNumId w:val="0"/>
  </w:num>
  <w:num w:numId="17">
    <w:abstractNumId w:val="23"/>
  </w:num>
  <w:num w:numId="18">
    <w:abstractNumId w:val="24"/>
  </w:num>
  <w:num w:numId="19">
    <w:abstractNumId w:val="17"/>
  </w:num>
  <w:num w:numId="20">
    <w:abstractNumId w:val="12"/>
  </w:num>
  <w:num w:numId="21">
    <w:abstractNumId w:val="6"/>
  </w:num>
  <w:num w:numId="22">
    <w:abstractNumId w:val="3"/>
  </w:num>
  <w:num w:numId="23">
    <w:abstractNumId w:val="14"/>
  </w:num>
  <w:num w:numId="24">
    <w:abstractNumId w:val="10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C6"/>
    <w:rsid w:val="001A09C8"/>
    <w:rsid w:val="0022515B"/>
    <w:rsid w:val="002504A0"/>
    <w:rsid w:val="002D3223"/>
    <w:rsid w:val="00357B4F"/>
    <w:rsid w:val="0044478C"/>
    <w:rsid w:val="004565A8"/>
    <w:rsid w:val="00657F96"/>
    <w:rsid w:val="007B1170"/>
    <w:rsid w:val="009610AE"/>
    <w:rsid w:val="00CD7F90"/>
    <w:rsid w:val="00D0670D"/>
    <w:rsid w:val="00E928C6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447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10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0AE"/>
  </w:style>
  <w:style w:type="paragraph" w:styleId="a9">
    <w:name w:val="footer"/>
    <w:basedOn w:val="a"/>
    <w:link w:val="aa"/>
    <w:uiPriority w:val="99"/>
    <w:unhideWhenUsed/>
    <w:rsid w:val="0096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447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10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0AE"/>
  </w:style>
  <w:style w:type="paragraph" w:styleId="a9">
    <w:name w:val="footer"/>
    <w:basedOn w:val="a"/>
    <w:link w:val="aa"/>
    <w:uiPriority w:val="99"/>
    <w:unhideWhenUsed/>
    <w:rsid w:val="0096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3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0113-24CB-42E3-98E0-E0D42B5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2013-09-12T17:32:00Z</dcterms:created>
  <dcterms:modified xsi:type="dcterms:W3CDTF">2013-09-17T06:40:00Z</dcterms:modified>
</cp:coreProperties>
</file>