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Муниципальное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дошкольное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образовательное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учреждение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>
        <w:rPr>
          <w:rFonts w:ascii="Adobe Garamond Pro Bold" w:hAnsi="Adobe Garamond Pro Bold" w:cs="Arial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Детский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сад</w:t>
      </w:r>
      <w:r>
        <w:rPr>
          <w:rFonts w:ascii="Adobe Garamond Pro Bold" w:hAnsi="Adobe Garamond Pro Bold" w:cs="Arial"/>
          <w:sz w:val="28"/>
          <w:szCs w:val="28"/>
        </w:rPr>
        <w:t xml:space="preserve"> «</w:t>
      </w:r>
      <w:r>
        <w:rPr>
          <w:rFonts w:ascii="Cambria" w:hAnsi="Cambria" w:cs="Cambria"/>
          <w:sz w:val="28"/>
          <w:szCs w:val="28"/>
        </w:rPr>
        <w:t>Ромашка</w:t>
      </w:r>
      <w:r>
        <w:rPr>
          <w:rFonts w:ascii="Adobe Garamond Pro Bold" w:hAnsi="Adobe Garamond Pro Bold" w:cs="Arial"/>
          <w:sz w:val="28"/>
          <w:szCs w:val="28"/>
        </w:rPr>
        <w:t xml:space="preserve">» </w:t>
      </w:r>
      <w:r>
        <w:rPr>
          <w:rFonts w:ascii="Cambria" w:hAnsi="Cambria" w:cs="Cambria"/>
          <w:sz w:val="28"/>
          <w:szCs w:val="28"/>
        </w:rPr>
        <w:t>поселка</w:t>
      </w:r>
      <w:r>
        <w:rPr>
          <w:rFonts w:ascii="Adobe Garamond Pro Bold" w:hAnsi="Adobe Garamond Pro Bold" w:cs="Arial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Соцземледельский</w:t>
      </w:r>
      <w:proofErr w:type="spellEnd"/>
      <w:r>
        <w:rPr>
          <w:rFonts w:ascii="Adobe Garamond Pro Bold" w:hAnsi="Adobe Garamond Pro Bold" w:cs="Arial"/>
          <w:sz w:val="28"/>
          <w:szCs w:val="28"/>
        </w:rPr>
        <w:t>»</w:t>
      </w: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sz w:val="28"/>
          <w:szCs w:val="28"/>
        </w:rPr>
      </w:pP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56"/>
          <w:szCs w:val="56"/>
        </w:rPr>
      </w:pPr>
      <w:r>
        <w:rPr>
          <w:rFonts w:ascii="Cambria" w:hAnsi="Cambria" w:cs="Cambria"/>
          <w:b/>
          <w:color w:val="339933"/>
          <w:sz w:val="56"/>
          <w:szCs w:val="56"/>
        </w:rPr>
        <w:t xml:space="preserve">    </w:t>
      </w: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  <w:r>
        <w:rPr>
          <w:rFonts w:ascii="Cambria" w:hAnsi="Cambria" w:cs="Cambria"/>
          <w:b/>
          <w:color w:val="339933"/>
          <w:sz w:val="72"/>
          <w:szCs w:val="72"/>
        </w:rPr>
        <w:t xml:space="preserve">                   Паспорт</w:t>
      </w: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  <w:sz w:val="72"/>
          <w:szCs w:val="72"/>
        </w:rPr>
      </w:pPr>
      <w:r>
        <w:rPr>
          <w:rFonts w:ascii="Cambria" w:hAnsi="Cambria" w:cs="Cambria"/>
          <w:b/>
          <w:color w:val="339933"/>
          <w:sz w:val="72"/>
          <w:szCs w:val="72"/>
        </w:rPr>
        <w:t xml:space="preserve">         Уголка природы</w:t>
      </w:r>
      <w:r>
        <w:rPr>
          <w:rFonts w:ascii="Adobe Garamond Pro Bold" w:hAnsi="Adobe Garamond Pro Bold" w:cs="Arial"/>
          <w:b/>
          <w:color w:val="339933"/>
          <w:sz w:val="72"/>
          <w:szCs w:val="72"/>
        </w:rPr>
        <w:t xml:space="preserve">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 «Детский сад «Ромашка»  поселка </w:t>
      </w:r>
      <w:proofErr w:type="spellStart"/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>Соцземледельский</w:t>
      </w:r>
      <w:proofErr w:type="spellEnd"/>
      <w:r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  <w:t xml:space="preserve">»  </w:t>
      </w:r>
    </w:p>
    <w:p w:rsidR="00BD2A31" w:rsidRDefault="00BD2A31" w:rsidP="00BD2A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8"/>
          <w:szCs w:val="38"/>
          <w:u w:val="single"/>
          <w:lang w:eastAsia="ru-RU"/>
        </w:rPr>
      </w:pPr>
    </w:p>
    <w:p w:rsidR="00BD2A31" w:rsidRDefault="00BD2A31" w:rsidP="00BD2A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8"/>
          <w:szCs w:val="3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8"/>
          <w:szCs w:val="38"/>
          <w:u w:val="single"/>
          <w:lang w:eastAsia="ru-RU"/>
        </w:rPr>
        <w:t>Паспорт Уголка природы группы «Солнышко»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Формирование экологического сознания - важнейшая задача дошкольного учреждения в настоящее время. Нынешняя экологическая ситуация такова, что более нельзя обойтись без радикальных и всесторонних изменений практически всех аспектов общественной жизни. Создание эколого-развивающей среды в ДОУ - одно из условий экологического воспитания детей.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Уголке природы младшие дошкольники могут не только наблюдать за растениями, но и принимать непосредственное участие в уходе за ними под руководством педагога. Такая деятельность способствует формированию у детей бережного отношения к природе, воспитывает доброту и отзывчивость.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Авторская работа уголка природы осуществляется педагогом Кондрашовой И.В.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Уголок природы занимает часть пространства группы «Солнышко».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Уголок природы включает три зоны: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зона – мини-лаборатория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зона – природные зоны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зона – живой уголок (растения)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Направление работы: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Экологизация</w:t>
      </w:r>
      <w:proofErr w:type="spellEnd"/>
      <w:r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 xml:space="preserve"> педагогического процесса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Цель: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Средствами Уголка природы осуществлять экологическое воспитание, обучение, развитие и социализацию воспитанников группы;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Формировать у детей осознанное понимание взаимосвязей всего живого и неживого в природе.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Задачи: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формировать у детей умения и навыки по уходу за растениями;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видеть и понимать связи между явлениями;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практически осваивать природу, создавая необходимые условия для нормальной жизнедеятельности живых организмов;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средствами природы воспитывать эстетические и патриотические чувства;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воспитывать у детей заботливое отношение к природе путем целенаправленного общения их с окружающей средой.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lastRenderedPageBreak/>
        <w:t xml:space="preserve">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Адресность: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Уголок природы предназначен для воспитанников группы «Солнышко».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Руководитель: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Непосредственное руководство практической деятельностью Уголка природы осуществляет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Кондрашова И.В.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Площадь Уголка природы составляет _______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квадратных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метра.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Организационно-методическое обеспечение  Уголка природы группы «Солнышко»: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Ежегодно (периодически) Уголок природы пополняется пособиями, наглядным и демонстрационным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материалом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приобретенным или же изготовленным руками воспитателя и родителей группы «Солнышко».   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Содержание, оформление и назначение деятельности Уголка природы группы «Солнышко»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C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C00000"/>
          <w:sz w:val="21"/>
          <w:szCs w:val="21"/>
          <w:u w:val="single"/>
          <w:lang w:eastAsia="ru-RU"/>
        </w:rPr>
        <w:t xml:space="preserve"> 1.Экологическая лаборатория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 работы с детьми в Уголке природы группы оборудована экологическая мини-лаборатория, где есть все необходимое для продуктивной и исследовательской деятельности детей.</w:t>
      </w:r>
    </w:p>
    <w:p w:rsidR="00BD2A31" w:rsidRDefault="00BD2A31" w:rsidP="00BD2A31">
      <w:pPr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Перечень предметов и материалов содержащихся в мини – лаборатории:</w:t>
      </w:r>
    </w:p>
    <w:p w:rsidR="00BD2A31" w:rsidRDefault="00BD2A31" w:rsidP="00BD2A31">
      <w:pPr>
        <w:pStyle w:val="a3"/>
        <w:rPr>
          <w:rFonts w:ascii="Arial" w:hAnsi="Arial" w:cs="Arial"/>
          <w:color w:val="595959" w:themeColor="text1" w:themeTint="A6"/>
          <w:sz w:val="21"/>
          <w:szCs w:val="21"/>
        </w:rPr>
      </w:pPr>
      <w:r>
        <w:rPr>
          <w:rFonts w:ascii="Arial" w:hAnsi="Arial" w:cs="Arial"/>
          <w:color w:val="595959" w:themeColor="text1" w:themeTint="A6"/>
          <w:sz w:val="21"/>
          <w:szCs w:val="21"/>
        </w:rPr>
        <w:t>- Этажерка с принадлежностями для опытно-экспериментальной деятельности;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Набор стаканчиков для экспериментов;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Контейнеры (с землей, песком, глиной);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Формочки для песка (снега);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Набор губок разных цветов;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Набор емкостей для работы с сыпучими предметами;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Резиновые игрушки;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Фольга;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Лампа настольная;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Гуашь;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Камешки разного цвета;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Набор зеркал;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Палочки с намотанными ленточками;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Контейнер с землей для посадки лука (рассады);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- Ведерко, лопатки, палочки для рыхления, кисточка, мыло, прищепки, салфетки, тазик, носовые платочки, кусочки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цв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картона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цв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бумаги, фартуки, тряпочки; </w:t>
      </w:r>
      <w:proofErr w:type="gramEnd"/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Набор природных материалов для поделок;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Образцы семян растений;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Муляжи овощей и фруктов;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Дидактические игры по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экологии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 том числе и электронные;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Аудиозаписи: «Пение птиц», «Шум ручья», «Шум дождя».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BD2A31" w:rsidRDefault="00BD2A31" w:rsidP="00BD2A31">
      <w:pPr>
        <w:pStyle w:val="a3"/>
        <w:rPr>
          <w:rFonts w:ascii="Arial" w:hAnsi="Arial" w:cs="Arial"/>
          <w:b/>
          <w:color w:val="C00000"/>
          <w:sz w:val="21"/>
          <w:szCs w:val="21"/>
        </w:rPr>
      </w:pPr>
      <w:r>
        <w:rPr>
          <w:rFonts w:ascii="Arial" w:hAnsi="Arial" w:cs="Arial"/>
          <w:b/>
          <w:color w:val="C00000"/>
          <w:sz w:val="21"/>
          <w:szCs w:val="21"/>
        </w:rPr>
        <w:t>2. Природные зоны (макеты)</w:t>
      </w:r>
      <w:proofErr w:type="gramStart"/>
      <w:r>
        <w:rPr>
          <w:rFonts w:ascii="Arial" w:hAnsi="Arial" w:cs="Arial"/>
          <w:b/>
          <w:color w:val="C00000"/>
          <w:sz w:val="21"/>
          <w:szCs w:val="21"/>
        </w:rPr>
        <w:t xml:space="preserve"> :</w:t>
      </w:r>
      <w:proofErr w:type="gramEnd"/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Макеты деревьев (дуб, береза, рябина, клен);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Макет «У бабушки на подворье»;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Макет «Дикие животные».</w:t>
      </w:r>
    </w:p>
    <w:p w:rsidR="00BD2A31" w:rsidRDefault="00BD2A31" w:rsidP="00BD2A31">
      <w:pPr>
        <w:pStyle w:val="a3"/>
        <w:rPr>
          <w:rFonts w:ascii="Arial" w:hAnsi="Arial" w:cs="Arial"/>
          <w:b/>
          <w:color w:val="C00000"/>
          <w:sz w:val="21"/>
          <w:szCs w:val="21"/>
        </w:rPr>
      </w:pPr>
    </w:p>
    <w:p w:rsidR="00BD2A31" w:rsidRDefault="00BD2A31" w:rsidP="00BD2A31">
      <w:pPr>
        <w:pStyle w:val="a3"/>
        <w:rPr>
          <w:rFonts w:ascii="Arial" w:hAnsi="Arial" w:cs="Arial"/>
          <w:b/>
          <w:color w:val="C00000"/>
          <w:sz w:val="21"/>
          <w:szCs w:val="21"/>
        </w:rPr>
      </w:pPr>
      <w:r>
        <w:rPr>
          <w:rFonts w:ascii="Arial" w:hAnsi="Arial" w:cs="Arial"/>
          <w:b/>
          <w:color w:val="C00000"/>
          <w:sz w:val="21"/>
          <w:szCs w:val="21"/>
        </w:rPr>
        <w:t xml:space="preserve">3. Живой уголок  (растения) 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Вовлекая детей в зеленый мир комнатных растений в Уголке природы собрана коллекция растений</w:t>
      </w:r>
      <w:proofErr w:type="gramEnd"/>
      <w:r>
        <w:rPr>
          <w:rFonts w:ascii="Arial" w:hAnsi="Arial" w:cs="Arial"/>
          <w:color w:val="555555"/>
          <w:sz w:val="21"/>
          <w:szCs w:val="21"/>
        </w:rPr>
        <w:t>. Растения статичны и на первый взгляд детей они безжизненны. Задача взрослых – помочь детям увидеть своеобразие и тайну жизни растений, их красоту, ради которой растения и содержатся человеком у себя в доме. Для работы с растениями собрана коллекция из разных мест обитания: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тропические растения: фикус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бенджамина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колеус,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пуансеттия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(рождественская звезда);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субтропические растения: пеларгония,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хлорофитум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маранта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толстянка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BD2A31" w:rsidRDefault="00BD2A31" w:rsidP="00BD2A3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Паспорт растений.</w:t>
      </w: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="Cambria" w:hAnsi="Cambria" w:cs="Cambria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  <w:sz w:val="22"/>
          <w:szCs w:val="22"/>
        </w:rPr>
      </w:pPr>
      <w:r>
        <w:rPr>
          <w:noProof/>
        </w:rPr>
        <w:lastRenderedPageBreak/>
        <w:drawing>
          <wp:anchor distT="104775" distB="104775" distL="104775" distR="104775" simplePos="0" relativeHeight="251659264" behindDoc="0" locked="0" layoutInCell="1" allowOverlap="0">
            <wp:simplePos x="0" y="0"/>
            <wp:positionH relativeFrom="column">
              <wp:posOffset>-219710</wp:posOffset>
            </wp:positionH>
            <wp:positionV relativeFrom="line">
              <wp:posOffset>193675</wp:posOffset>
            </wp:positionV>
            <wp:extent cx="4676140" cy="3646170"/>
            <wp:effectExtent l="228600" t="247650" r="257810" b="125730"/>
            <wp:wrapSquare wrapText="bothSides"/>
            <wp:docPr id="2" name="Рисунок 2" descr="http://kachestvo.ru/netcat_files/Image/derevo.na%20ok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kachestvo.ru/netcat_files/Image/derevo.na%20ok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31673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  <w:sz w:val="72"/>
          <w:szCs w:val="72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  <w:r>
        <w:rPr>
          <w:color w:val="1B1F28"/>
        </w:rPr>
        <w:t xml:space="preserve">    </w:t>
      </w: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b/>
          <w:color w:val="E36C0A" w:themeColor="accent6" w:themeShade="BF"/>
          <w:sz w:val="48"/>
          <w:szCs w:val="48"/>
        </w:rPr>
      </w:pPr>
      <w:proofErr w:type="spellStart"/>
      <w:r>
        <w:rPr>
          <w:b/>
          <w:color w:val="E36C0A" w:themeColor="accent6" w:themeShade="BF"/>
          <w:sz w:val="48"/>
          <w:szCs w:val="48"/>
        </w:rPr>
        <w:t>Толстянка</w:t>
      </w:r>
      <w:proofErr w:type="spellEnd"/>
      <w:r>
        <w:rPr>
          <w:b/>
          <w:color w:val="E36C0A" w:themeColor="accent6" w:themeShade="BF"/>
          <w:sz w:val="48"/>
          <w:szCs w:val="48"/>
        </w:rPr>
        <w:t xml:space="preserve">       </w:t>
      </w:r>
    </w:p>
    <w:p w:rsidR="00BD2A31" w:rsidRDefault="00BD2A31" w:rsidP="00BD2A31">
      <w:pPr>
        <w:pStyle w:val="a3"/>
        <w:rPr>
          <w:color w:val="1B1F28"/>
        </w:rPr>
      </w:pPr>
      <w:r>
        <w:rPr>
          <w:color w:val="1B1F28"/>
        </w:rPr>
        <w:t xml:space="preserve">Самое главное требование </w:t>
      </w:r>
      <w:proofErr w:type="spellStart"/>
      <w:r>
        <w:rPr>
          <w:color w:val="1B1F28"/>
        </w:rPr>
        <w:t>толстянки</w:t>
      </w:r>
      <w:proofErr w:type="spellEnd"/>
      <w:r>
        <w:rPr>
          <w:color w:val="1B1F28"/>
        </w:rPr>
        <w:t xml:space="preserve"> — обилие солнечного света. Родом она из африканских саванн, и благодаря этому хорошо переносит даже сухой воздух квартир с центральным отоплением и прямые солнечные лучи. Но хотя </w:t>
      </w:r>
      <w:proofErr w:type="spellStart"/>
      <w:r>
        <w:rPr>
          <w:color w:val="1B1F28"/>
        </w:rPr>
        <w:t>толстянка</w:t>
      </w:r>
      <w:proofErr w:type="spellEnd"/>
      <w:r>
        <w:rPr>
          <w:color w:val="1B1F28"/>
        </w:rPr>
        <w:t xml:space="preserve"> и любит яркий свет, летом ее необходимо защищать от слишком яркого солнца. Поливают летом умеренно, зимой очень редко — раз в 1—2 месяца. Состав почвы подойдет такой же, как для герани. Летом можно вынести ее на свежий воз дух — на лоджию или балкон. Чтобы «дерево» не росло однобоким, горшок время от времени нужно поворачивать разными сторонами к солнцу. Тому, кто решил вырастить у себя дома денежное дерево, следует помнить еще одно условие — ни в коем случае его нельзя ставить рядом с кактусами или другими колючими растениями. </w:t>
      </w: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color w:val="1B1F28"/>
        </w:rPr>
      </w:pPr>
    </w:p>
    <w:p w:rsidR="00BD2A31" w:rsidRDefault="00BD2A31" w:rsidP="00BD2A31">
      <w:pPr>
        <w:pStyle w:val="a3"/>
        <w:rPr>
          <w:rFonts w:asciiTheme="minorHAnsi" w:hAnsiTheme="minorHAnsi" w:cs="Arial"/>
          <w:b/>
          <w:color w:val="339933"/>
          <w:sz w:val="72"/>
          <w:szCs w:val="72"/>
        </w:rPr>
      </w:pPr>
      <w:r>
        <w:rPr>
          <w:rFonts w:asciiTheme="minorHAnsi" w:hAnsiTheme="minorHAnsi" w:cs="Arial"/>
          <w:b/>
          <w:color w:val="339933"/>
          <w:sz w:val="72"/>
          <w:szCs w:val="72"/>
        </w:rPr>
        <w:lastRenderedPageBreak/>
        <w:t xml:space="preserve">       </w:t>
      </w:r>
      <w:r>
        <w:rPr>
          <w:noProof/>
        </w:rPr>
        <w:drawing>
          <wp:inline distT="0" distB="0" distL="0" distR="0">
            <wp:extent cx="4381500" cy="4171950"/>
            <wp:effectExtent l="228600" t="247650" r="247650" b="228600"/>
            <wp:docPr id="3" name="Рисунок 3" descr="пуансеттия ух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пуансеттия ухо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7077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D2A31" w:rsidRDefault="00BD2A31" w:rsidP="00BD2A31">
      <w:pPr>
        <w:spacing w:after="30" w:line="240" w:lineRule="atLeast"/>
        <w:jc w:val="both"/>
        <w:rPr>
          <w:rFonts w:ascii="Adobe Garamond Pro Bold" w:eastAsia="Times New Roman" w:hAnsi="Adobe Garamond Pro Bold" w:cs="Arial"/>
          <w:b/>
          <w:bCs/>
          <w:color w:val="E36C0A" w:themeColor="accent6" w:themeShade="BF"/>
          <w:sz w:val="44"/>
          <w:szCs w:val="44"/>
          <w:lang w:eastAsia="ru-RU"/>
        </w:rPr>
      </w:pPr>
      <w:proofErr w:type="spellStart"/>
      <w:r>
        <w:rPr>
          <w:rFonts w:ascii="Cambria" w:eastAsia="Times New Roman" w:hAnsi="Cambria" w:cs="Cambria"/>
          <w:b/>
          <w:bCs/>
          <w:color w:val="E36C0A" w:themeColor="accent6" w:themeShade="BF"/>
          <w:sz w:val="44"/>
          <w:szCs w:val="44"/>
          <w:lang w:eastAsia="ru-RU"/>
        </w:rPr>
        <w:t>Пуантенсия</w:t>
      </w:r>
      <w:proofErr w:type="spellEnd"/>
    </w:p>
    <w:p w:rsidR="00BD2A31" w:rsidRDefault="00BD2A31" w:rsidP="00BD2A31">
      <w:pPr>
        <w:spacing w:after="30" w:line="24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BD2A31" w:rsidRDefault="00BD2A31" w:rsidP="00BD2A31">
      <w:pPr>
        <w:spacing w:after="3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Пуансеттия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многолетнее листопадное кустарниковое растение.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известная многим как 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Рождественская звезда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- одно из самых популярных рождественских растений. Знаменитый шикарный вид придают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пуансеттии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прицветники - крупные контрастные листья на самом верху побегов текущего года. Эти листья бывают ярко-красными, розовыми, жёлтыми, кремовыми и даже двуцветными, пятнистыми; держатся они на растении только несколько недель. </w:t>
      </w:r>
    </w:p>
    <w:p w:rsidR="00BD2A31" w:rsidRDefault="00BD2A31" w:rsidP="00BD2A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Пуансеттия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предпочитает яркий рассеянный свет, без прямых солнечных лучей. Летом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пуансеттию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необходимо выставлять на светлое место (притеняя от прямого солнца).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 летнее время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пуансеттию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можно выносить на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открытый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открытый воздух (балкон, сад), но следует защитить от прямых солнечных лучей, от попадания осадков и сквозняков. Если у вас нет возможности размещения в летний период растения на открытом воздухе, то следует регулярно проветривать помещение. </w:t>
      </w:r>
    </w:p>
    <w:p w:rsidR="00BD2A31" w:rsidRDefault="00BD2A31" w:rsidP="00BD2A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Чтобы заставить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пуансеттию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зацвести к Новому Году, с конца сентября важно выдерживать режим освещения. С началом сумерек рекомендуют накрывать растение не пропускающим свет темным полиэтиленовым пакетом и снимать его только утром либо ставить его в темное место (растение должно проводить в темноте 12-14 часов в сутки). Это нужно делать в течение 8 недель, затем вернуться к обычному уходу. Более продолжительное освещение, в том числе искусственное, сдерживает появление бутонов и усиливает рост листьев. Спустя 2-3 недели после применения тактики «короткого дня» растение формирует цветочные почки. При дальнейшем пребывании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пуансеттии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таком режиме распускаются яркие прицветники. </w:t>
      </w:r>
    </w:p>
    <w:p w:rsidR="00BD2A31" w:rsidRDefault="00BD2A31" w:rsidP="00BD2A31">
      <w:pPr>
        <w:rPr>
          <w:rFonts w:ascii="Adobe Garamond Pro Bold" w:hAnsi="Adobe Garamond Pro Bold"/>
          <w:sz w:val="28"/>
          <w:szCs w:val="28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FB41E8" w:rsidRDefault="00FB41E8">
      <w:bookmarkStart w:id="0" w:name="_GoBack"/>
      <w:bookmarkEnd w:id="0"/>
    </w:p>
    <w:sectPr w:rsidR="00FB41E8" w:rsidSect="00BD2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1"/>
    <w:rsid w:val="00BD2A31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3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3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2015-01-06T19:39:00Z</dcterms:created>
  <dcterms:modified xsi:type="dcterms:W3CDTF">2015-01-06T19:41:00Z</dcterms:modified>
</cp:coreProperties>
</file>