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B6" w:rsidRDefault="007224B6" w:rsidP="007224B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224B6">
        <w:rPr>
          <w:rFonts w:ascii="Arial" w:eastAsia="Times New Roman" w:hAnsi="Arial" w:cs="Arial"/>
          <w:kern w:val="36"/>
          <w:sz w:val="30"/>
          <w:szCs w:val="30"/>
          <w:lang w:eastAsia="ru-RU"/>
        </w:rPr>
        <w:t>Консультация для родителей</w:t>
      </w:r>
    </w:p>
    <w:p w:rsidR="007224B6" w:rsidRPr="007224B6" w:rsidRDefault="007224B6" w:rsidP="007224B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224B6">
        <w:rPr>
          <w:rFonts w:ascii="Arial" w:eastAsia="Times New Roman" w:hAnsi="Arial" w:cs="Arial"/>
          <w:kern w:val="36"/>
          <w:sz w:val="30"/>
          <w:szCs w:val="30"/>
          <w:lang w:eastAsia="ru-RU"/>
        </w:rPr>
        <w:t>«Театрализованная игра как средство развития речи дошкольников»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Игра является ведущей деятельностью, потому что даёт ребёнку вступить во взаимодействие с такими сторонами жизни, с которыми в реальной жизни ребёнок вступить не может.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Театральные игры – это игры, в которых в лицах с помощью таких выразительных средств, как интонация, мимика, жест, поза и походка, разыгрывается литературное произведение, то есть воссоздаются конкретные образы.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Говоря о театральных играх, мы понимаем, что в самом этом названии заключён смысл театра как искусства игры.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Настоящий интерес к театрализованной игре появляется только у старших дошкольников, но это не означает, что приобщать детей к данному виду игры можно только в старшем дошкольном возрасте.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Детям младшего дошкольного возраста интересны игры с куклами, небольшие инсценировки. Маленьким детям нравиться выражать свои эмоции в образно-двигательных импровизациях под музыку.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В душе каждого ребёнка таиться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7224B6">
        <w:rPr>
          <w:sz w:val="28"/>
          <w:szCs w:val="28"/>
        </w:rPr>
        <w:t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среднего возраста и к языковой выразительности речи у детей старшего дошкольного возраста.</w:t>
      </w:r>
      <w:proofErr w:type="gramEnd"/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Использование детьми разнообразных средств выразительности речи – важнейшее условие своевременного интеллектуального, речевого, литературного и художественного развития.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 xml:space="preserve">Для развития выразительной речи просто необходимо создание условий, в которых каждый ребёнок мог бы передавать свои эмоции, чувства, желания и </w:t>
      </w:r>
      <w:proofErr w:type="gramStart"/>
      <w:r w:rsidRPr="007224B6">
        <w:rPr>
          <w:sz w:val="28"/>
          <w:szCs w:val="28"/>
        </w:rPr>
        <w:t>взгляды</w:t>
      </w:r>
      <w:proofErr w:type="gramEnd"/>
      <w:r w:rsidRPr="007224B6">
        <w:rPr>
          <w:sz w:val="28"/>
          <w:szCs w:val="28"/>
        </w:rPr>
        <w:t xml:space="preserve"> как в обычном разговоре, так и публично, не стесняясь слушателей. Огромную помощь в этом оказывает театрализованная игра. И пожить, и порадоваться в ней может каждый ребёнок.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Исполняемая роль, особенно диалог с другим персонажем, ставит маленького актёра перед необходимостью ясно, чётко, понятно изъясняться.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7224B6">
        <w:rPr>
          <w:sz w:val="28"/>
          <w:szCs w:val="28"/>
        </w:rPr>
        <w:lastRenderedPageBreak/>
        <w:t>Например: читая с ребёнком сказки о животных «Колобок», «Теремок», «Лиса и заяц», «Лисичка сестричка и серый волк» и т. п. побеседуйте с ними о прочитанном, о героях сказки.</w:t>
      </w:r>
      <w:proofErr w:type="gramEnd"/>
      <w:r w:rsidRPr="007224B6">
        <w:rPr>
          <w:sz w:val="28"/>
          <w:szCs w:val="28"/>
        </w:rPr>
        <w:t xml:space="preserve"> Задайте ребёнку наводящие вопросы, это поможет ему представить эмоциональное состояние героя, подобрать нужную к проблемной ситуации интонацию, силу голоса. Это подведёт ребёнка к умению выразительно интонировать голоса героев сказки с разной силой голоса.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Поиграйте с детьми в игры на угадывание эмоциональных состояний героев сказки, в таких играх дети по выразительному исполнению движений учатся отбирать слова, выразительно описывающие мимику, позы, движения персонажа в проблемной ситуации.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7224B6">
        <w:rPr>
          <w:sz w:val="28"/>
          <w:szCs w:val="28"/>
        </w:rPr>
        <w:t>В них они описывают отображаемые образы сказки с помощью глаголов (убежал, горюет, браниться, прилагательных (маленький, большой, капризная, весёлая, грустная, наречий (громко, тяжело, легко, весело, шумно, тихо).</w:t>
      </w:r>
      <w:proofErr w:type="gramEnd"/>
      <w:r w:rsidRPr="007224B6">
        <w:rPr>
          <w:sz w:val="28"/>
          <w:szCs w:val="28"/>
        </w:rPr>
        <w:t xml:space="preserve"> Подобные игры активизируют разнообразную лексику, сосредотачивают внимание дошкольников на значение слова, развитию самоконтроля.</w:t>
      </w:r>
    </w:p>
    <w:p w:rsidR="007224B6" w:rsidRPr="007224B6" w:rsidRDefault="007224B6" w:rsidP="007224B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224B6">
        <w:rPr>
          <w:sz w:val="28"/>
          <w:szCs w:val="28"/>
        </w:rPr>
        <w:t>Поэтому именно театрализованная игра позволяет решать многие задачи, касаю</w:t>
      </w:r>
      <w:r w:rsidR="000F4441">
        <w:rPr>
          <w:sz w:val="28"/>
          <w:szCs w:val="28"/>
        </w:rPr>
        <w:t>щиеся формирования</w:t>
      </w:r>
      <w:r w:rsidRPr="007224B6">
        <w:rPr>
          <w:sz w:val="28"/>
          <w:szCs w:val="28"/>
        </w:rPr>
        <w:t xml:space="preserve"> выразительной речи ребёнка.</w:t>
      </w:r>
    </w:p>
    <w:p w:rsidR="007224B6" w:rsidRPr="007224B6" w:rsidRDefault="007224B6">
      <w:pPr>
        <w:rPr>
          <w:rFonts w:ascii="Times New Roman" w:hAnsi="Times New Roman" w:cs="Times New Roman"/>
          <w:sz w:val="28"/>
          <w:szCs w:val="28"/>
        </w:rPr>
      </w:pPr>
    </w:p>
    <w:sectPr w:rsidR="007224B6" w:rsidRPr="007224B6" w:rsidSect="007224B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B6"/>
    <w:rsid w:val="000F4441"/>
    <w:rsid w:val="000F66D5"/>
    <w:rsid w:val="00457F12"/>
    <w:rsid w:val="005D1CCA"/>
    <w:rsid w:val="007224B6"/>
    <w:rsid w:val="0088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D5"/>
  </w:style>
  <w:style w:type="paragraph" w:styleId="1">
    <w:name w:val="heading 1"/>
    <w:basedOn w:val="a"/>
    <w:link w:val="10"/>
    <w:uiPriority w:val="9"/>
    <w:qFormat/>
    <w:rsid w:val="00722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4B6"/>
    <w:rPr>
      <w:b/>
      <w:bCs/>
    </w:rPr>
  </w:style>
  <w:style w:type="character" w:customStyle="1" w:styleId="b-share">
    <w:name w:val="b-share"/>
    <w:basedOn w:val="a0"/>
    <w:rsid w:val="007224B6"/>
  </w:style>
  <w:style w:type="character" w:customStyle="1" w:styleId="b-share-form-button">
    <w:name w:val="b-share-form-button"/>
    <w:basedOn w:val="a0"/>
    <w:rsid w:val="007224B6"/>
  </w:style>
  <w:style w:type="character" w:customStyle="1" w:styleId="10">
    <w:name w:val="Заголовок 1 Знак"/>
    <w:basedOn w:val="a0"/>
    <w:link w:val="1"/>
    <w:uiPriority w:val="9"/>
    <w:rsid w:val="00722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2014-09-04T00:28:00Z</dcterms:created>
  <dcterms:modified xsi:type="dcterms:W3CDTF">2014-09-04T00:42:00Z</dcterms:modified>
</cp:coreProperties>
</file>