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5A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8E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4BD7A4" wp14:editId="5F9C67E6">
            <wp:extent cx="2857500" cy="2141855"/>
            <wp:effectExtent l="0" t="0" r="0" b="0"/>
            <wp:docPr id="1" name="Рисунок 1" descr="Образование-и-добыча-золота-в-река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разование-и-добыча-золота-в-реках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Детям-о добыче золота в реках</w:t>
      </w:r>
    </w:p>
    <w:p w:rsidR="00CF78E1" w:rsidRPr="00CF78E1" w:rsidRDefault="004D195A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F78E1"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proofErr w:type="gramEnd"/>
      <w:r w:rsidR="00CF78E1"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добыча золота в реках явление довольно распространённое. Золото тяжелее воды практически в 20 раз. Поднять его со дня может лишь мощное течение. Поэтому, ищут драгоценный песок обычно в заводях, изгибах рек. Это места, где </w:t>
      </w:r>
      <w:hyperlink r:id="rId7" w:tgtFrame="_blank" w:tooltip="Топ 7 самых  дорогих  металлов в мире." w:history="1">
        <w:r w:rsidR="00CF78E1" w:rsidRPr="00CF78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металл</w:t>
        </w:r>
      </w:hyperlink>
      <w:r w:rsidR="00CF78E1"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принесенный бурным потоком, оседает на дно под собственной тяжестью. 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Геологи уверены, чт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золото попало в водоемы в 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развития планеты, начавшийся около 2 миллионов лет назад. Тогда система рек на Земле выглядела иначе. Многие из них протекали по территории золотоносных месторождений, размывали их, унося драгоценные частицы в своих водах. Когда русла расширялись, реки выходили из берегов, скорость потока падала. В этот момент, как уже указывалось, золото оседало, концентрируясь в определенных участках. Найти эти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частки – и есть цель старателей.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78E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4ABAAC" wp14:editId="63E82356">
            <wp:extent cx="2857500" cy="2141855"/>
            <wp:effectExtent l="0" t="0" r="0" b="0"/>
            <wp:docPr id="2" name="Рисунок 2" descr="Образование-и-добыча-золота-в-реках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разование-и-добыча-золота-в-реках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Если, промыв породу дна, вы не обнаружили кварц, значит, и золота в воде нет. Драгоценный металл формируется и залегает в кварцевых жилах. Река не может 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вымыть золото, не смыв предварительно частицы минерала. Поэтому, чем выше содержание в воде кварца, тем больше вероятность нахождения там и солнечных песчинок.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Кварц – бесцветный минерал, внешне похожий на стекло. Однако, он в несколько раз тверже своего собрата, сделанного руками человека. Поэтому, если прозрачный осколок со дна оставляет царапины на бутылке, линзах, значит, это кварц.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Обнаружив вслед за минералом </w:t>
      </w:r>
      <w:r w:rsidR="00FD0FEE"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микрочастицы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металла, следует двигаться вверх по течению. Логично, что крупные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самородки поток не может отнести далеко от размытой им золотоносной жилы. Маленькие же песчинки реки относят далеко. Скопления золота следует искать в местах, где уровень дна резко меняется. В углублениях русла — течение меньше. Скорость течения падает также перед большими валунами, преграждающими поток и в долинах рек.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Пробу на золото обычно берут в устье водоема, там, где река впадает в озеро или море. Наличие в сотейнике (сите для промывки породы) хотя бы одной драгоценной песчинки – хороший знак. Это означает, что выше по течению воды «кишмя кишат» золотом. Только значительное количество ценного металла дает ему шанс оказаться за тысячи километров от истока.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78E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A085B0" wp14:editId="38359CE9">
            <wp:extent cx="2857500" cy="2131695"/>
            <wp:effectExtent l="0" t="0" r="0" b="1905"/>
            <wp:docPr id="3" name="Рисунок 3" descr="Образование-и-добыча-золота-в-реках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разование-и-добыча-золота-в-реках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не следует предполагать, что залежи золота расположены вблизи устья? 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Потому что, даже при их наличии, скорость потока вольготно </w:t>
      </w:r>
      <w:proofErr w:type="spellStart"/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разлившегося</w:t>
      </w:r>
      <w:proofErr w:type="spellEnd"/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сотни, а то и тысячи метров в ширину не позволит реке «отодрать» частицы породы. В горах же, где зарождается большинство рек, они вынуждены пробивать себе путь меж камней и скал. Русла узкие, напор воды внушительный. Такая сила струи делает возможным отделение и вымывание золота.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Промывкой одного лотка не следует удовлетворяться. Можно оказаться в месте водоема, близком к золотоносной жиле. Это значит, что в этом участке дна осели крупные самородки. Драгоценного песка здесь не найдешь, его течение унесло дальше. Внушительных слитков не бывает так много, как мелких частиц, в каждый сотейник они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огут и не попасть.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0FEE"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Если,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промыв ведется на излучине реки, стоит помнить про тяжесть золота. Частицы движутся по прямой, связывающей рабочий изгиб реки с последующим. Это путь наименьшего сопротивления, самый короткий путь от одной излучины к другой. Обычно линия следования драгоценного песка в потоке задевает береговую линию внутренних изгибов. В таких местах практически всегда образуются косы. На них-то и стоит промывать песок.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78E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D166AA" wp14:editId="2B5C87A9">
            <wp:extent cx="2857500" cy="2131695"/>
            <wp:effectExtent l="0" t="0" r="0" b="1905"/>
            <wp:docPr id="4" name="Рисунок 4" descr="Образование-и-добыча-золота-в-реках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разование-и-добыча-золота-в-реках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Делать это можно несколькими способами. Единичные старатели обычно «вооружаются» уже упомянутыми лотками. Но, если добычу рассчитывают вести в солидных масштабах, используют </w:t>
      </w:r>
      <w:proofErr w:type="spellStart"/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минидраги</w:t>
      </w:r>
      <w:proofErr w:type="spellEnd"/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машины, отделяющие золото от речного песка. Они работают подобно пылесосам, затягивая под давлением массу, и отфильтровывая 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золото от остальной породы. В установку входят воздушные подушки, делающие ее плавучей. Естественно, не обход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ится без двигателя, насоса, инже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ктора и, собственно, желоба для промывки.</w:t>
      </w: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E1" w:rsidRPr="00CF78E1" w:rsidRDefault="00CF78E1" w:rsidP="00CF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Ищут драгоценный металл и с помощью металлоискателей. Их применяют только для обнаружения самородков, причем, крупных размеров. Если слиток меньше спичечной головки или бусины, прибор реагирует на него слишком слабо. Частицы еще более мелких размеров и вовсе </w:t>
      </w:r>
      <w:r w:rsidR="004D195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замечает.</w:t>
      </w:r>
    </w:p>
    <w:p w:rsidR="000052B9" w:rsidRPr="00FD0FEE" w:rsidRDefault="00CF78E1" w:rsidP="00FD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78E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CD3AA2" wp14:editId="374F2355">
            <wp:extent cx="2857500" cy="1903095"/>
            <wp:effectExtent l="0" t="0" r="0" b="1905"/>
            <wp:docPr id="5" name="Рисунок 5" descr="Образование-и-добыча-золота-в-реках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разование-и-добыча-золота-в-реках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помощь может </w:t>
      </w:r>
      <w:r w:rsidR="004D195A"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прийти</w:t>
      </w:r>
      <w:r w:rsidRPr="00CF7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«пробник золота». Так называется собрат металлоискателя, настроенный улавливать только желтый металл. Специализированному устройству «подвластны» даже самые мелки</w:t>
      </w:r>
      <w:r w:rsidR="004D195A">
        <w:rPr>
          <w:rFonts w:ascii="Times New Roman" w:eastAsia="Times New Roman" w:hAnsi="Times New Roman" w:cs="Times New Roman"/>
          <w:sz w:val="32"/>
          <w:szCs w:val="32"/>
          <w:lang w:eastAsia="ru-RU"/>
        </w:rPr>
        <w:t>е драгоценные частицы.</w:t>
      </w:r>
    </w:p>
    <w:sectPr w:rsidR="000052B9" w:rsidRPr="00F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5A" w:rsidRDefault="004D195A" w:rsidP="004D195A">
      <w:pPr>
        <w:spacing w:after="0" w:line="240" w:lineRule="auto"/>
      </w:pPr>
      <w:r>
        <w:separator/>
      </w:r>
    </w:p>
  </w:endnote>
  <w:endnote w:type="continuationSeparator" w:id="0">
    <w:p w:rsidR="004D195A" w:rsidRDefault="004D195A" w:rsidP="004D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5A" w:rsidRDefault="004D195A" w:rsidP="004D195A">
      <w:pPr>
        <w:spacing w:after="0" w:line="240" w:lineRule="auto"/>
      </w:pPr>
      <w:r>
        <w:separator/>
      </w:r>
    </w:p>
  </w:footnote>
  <w:footnote w:type="continuationSeparator" w:id="0">
    <w:p w:rsidR="004D195A" w:rsidRDefault="004D195A" w:rsidP="004D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1"/>
    <w:rsid w:val="000052B9"/>
    <w:rsid w:val="004D195A"/>
    <w:rsid w:val="00CF78E1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70C5E-B088-4CFB-BDF4-D125045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95A"/>
  </w:style>
  <w:style w:type="paragraph" w:styleId="a5">
    <w:name w:val="footer"/>
    <w:basedOn w:val="a"/>
    <w:link w:val="a6"/>
    <w:uiPriority w:val="99"/>
    <w:unhideWhenUsed/>
    <w:rsid w:val="004D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9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106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5744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6263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636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1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9650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07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6174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4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3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voi-uvelirr.ru/top-7-samyx-dorogix-metallov-v-mi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Vjacheslav Yemeljanov</dc:creator>
  <cp:keywords/>
  <dc:description/>
  <cp:lastModifiedBy>Vjacheslav Yemeljanov</cp:lastModifiedBy>
  <cp:revision>2</cp:revision>
  <dcterms:created xsi:type="dcterms:W3CDTF">2014-12-08T16:59:00Z</dcterms:created>
  <dcterms:modified xsi:type="dcterms:W3CDTF">2014-12-08T16:59:00Z</dcterms:modified>
</cp:coreProperties>
</file>